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color w:val="0F172A"/>
          <w:sz w:val="36"/>
          <w:szCs w:val="36"/>
        </w:rPr>
        <w:t xml:space="preserve">NARASI KESIMPULAN AKHIR</w:t>
      </w:r>
    </w:p>
    <w:p>
      <w:pPr>
        <w:spacing w:after="60" w:before="0" w:line="320"/>
        <w:jc w:val="center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Tiga Pesan Utama Disertasi IDA-PTW</w:t>
      </w:r>
    </w:p>
    <w:p>
      <w:pPr>
        <w:spacing w:after="60" w:before="0" w:line="320"/>
        <w:jc w:val="center"/>
      </w:pPr>
      <w:r>
        <w:rPr>
          <w:rFonts w:ascii="Calibri" w:cs="Calibri" w:eastAsia="Calibri" w:hAnsi="Calibri"/>
          <w:color w:val="6B7280"/>
          <w:sz w:val="22"/>
          <w:szCs w:val="22"/>
        </w:rPr>
        <w:t xml:space="preserve">Naskah deep-dive penutup disertasi  ·  IDA-PTW EEWS</w:t>
      </w:r>
    </w:p>
    <w:p>
      <w:pPr>
        <w:spacing w:after="60" w:before="0" w:line="320"/>
        <w:jc w:val="center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Hanif Andi Nugraha · Departemen Fisika FMIPA UI · BMKG</w:t>
      </w:r>
    </w:p>
    <w:p>
      <w:pPr>
        <w:spacing w:after="360" w:before="0" w:line="320"/>
        <w:jc w:val="center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Total durasi: ±10 menit · 10 segmen narasi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40AF" w:sz="4"/>
              <w:left w:val="single" w:color="1E40AF" w:sz="24"/>
              <w:bottom w:val="single" w:color="1E40AF" w:sz="4"/>
              <w:right w:val="single" w:color="1E40AF" w:sz="4"/>
            </w:tcBorders>
            <w:shd w:fill="DBEAFE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40AF"/>
                <w:sz w:val="18"/>
                <w:szCs w:val="18"/>
              </w:rPr>
              <w:t xml:space="preserve">TIGA PESAN HEADLINE  ·  </w:t>
            </w:r>
            <w:r>
              <w:rPr>
                <w:rFonts w:ascii="Calibri" w:cs="Calibri" w:eastAsia="Calibri" w:hAnsi="Calibri"/>
                <w:b/>
                <w:bCs/>
                <w:color w:val="1E40AF"/>
                <w:sz w:val="22"/>
                <w:szCs w:val="22"/>
              </w:rPr>
              <w:t xml:space="preserve">PARADIGMA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·  </w:t>
            </w:r>
            <w:r>
              <w:rPr>
                <w:rFonts w:ascii="Calibri" w:cs="Calibri" w:eastAsia="Calibri" w:hAnsi="Calibri"/>
                <w:b/>
                <w:bCs/>
                <w:color w:val="059669"/>
                <w:sz w:val="22"/>
                <w:szCs w:val="22"/>
              </w:rPr>
              <w:t xml:space="preserve">EMPIRIK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·  </w:t>
            </w: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DAMPAK</w:t>
            </w:r>
          </w:p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59E0B"/>
                <w:sz w:val="20"/>
                <w:szCs w:val="20"/>
              </w:rPr>
              <w:t xml:space="preserve">"Riset ini lahir dari kebutuhan Indonesia, dan kembali untuk melayani Indonesia"</w:t>
            </w:r>
          </w:p>
        </w:tc>
      </w:tr>
    </w:tbl>
    <w:p>
      <w:pPr>
        <w:spacing w:after="24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1 — Mengapa "Tiga Pesan Utama"?  (45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"Bapak/Ibu Promotor dan Guru Besar yang saya hormati, slide ini adalah penutup formal disertasi IDA-PTW. Setelah seluruh perjalanan dari konteks tektonik, melalui metodologi 3-stage cascade, validasi rigorous, dan diskusi positioning — kita sampai pada kesimpulan akhir.""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"Mengapa saya pilih struktur "Tiga Pesan Utama" alih-alih daftar panjang kontribusi? Karena tiga adalah cognitive sweet spot. Audiens — terutama setelah 4-jam paparan disertasi — akan mengingat tiga pesan dengan struktur yang clear, bukan 10+ angka yang terbagi. Saya susun pesan ini dalam tiga dimensi yang berbeda fundamental: PARADIGMA (filsafat ilmu), EMPIRIK (validasi pengukuran), dan DAMPAK (pertanggungjawaban sosial).""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40AF" w:sz="4"/>
              <w:left w:val="single" w:color="1E40AF" w:sz="24"/>
              <w:bottom w:val="single" w:color="1E40AF" w:sz="4"/>
              <w:right w:val="single" w:color="1E40AF" w:sz="4"/>
            </w:tcBorders>
            <w:shd w:fill="DBEAFE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E40AF"/>
                <w:sz w:val="18"/>
                <w:szCs w:val="18"/>
              </w:rPr>
              <w:t xml:space="preserve">◆  STRUKTUR ARISTOTELEAN</w:t>
            </w:r>
          </w:p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Tiga pesan ini juga mengikuti struktur klasik Aristotelean: ethos (paradigma yang dijustifikasi), logos (empirik yang divalidasi), dan pathos (dampak yang menyentuh). Filsafat presentasi yang dapat dipertanggungjawabkan dari sudut pandang akademik dan retorika.</w:t>
            </w:r>
          </w:p>
        </w:tc>
      </w:tr>
    </w:tbl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2 — Pesan 1 PARADIGMA: Pergeseran Intensity-Driven  (75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"Pesan pertama: PARADIGMA — pergeseran paradigma intensity-driven berhasil mengatasi tantangan EEWS klasik di subduksi.""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40AF" w:sz="4"/>
              <w:left w:val="single" w:color="1E40AF" w:sz="24"/>
              <w:bottom w:val="single" w:color="1E40AF" w:sz="4"/>
              <w:right w:val="single" w:color="1E40AF" w:sz="4"/>
            </w:tcBorders>
            <w:shd w:fill="DBEAFE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E40AF"/>
                <w:sz w:val="18"/>
                <w:szCs w:val="18"/>
              </w:rPr>
              <w:t xml:space="preserve">◆  PESAN 1 — PARADIGMA</w:t>
            </w:r>
          </w:p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color w:val="0F172A"/>
                <w:sz w:val="22"/>
                <w:szCs w:val="22"/>
              </w:rPr>
              <w:t xml:space="preserve">Pesan 1: Pergeseran paradigma intensity-driven berhasil mengatasi tantangan EEWS klasik di subduksi: reduksi blind zone hingga 89% (Stage 0), akurasi spektral melampaui GMPE (R² = 0,7091, Δ +0,067), dan katalog-independen.</w:t>
            </w:r>
          </w:p>
        </w:tc>
      </w:tr>
    </w:tbl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"Bedah maknanya: paradigma EEWS klasik (Wu Kanamori 2007 dan keturunannya) adalah source-centric — fokus pada estimasi magnitude dan distance, lalu transform ke PGA via GMPE. IDA-PTW intensity-driven — langsung memprediksi response spectrum Sa(T) tanpa intermediate source estimation. Direct path dari P-wave ke engineering output.""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"Tiga buah konkret pergeseran paradigma:"</w:t>
      </w:r>
    </w:p>
    <w:p>
      <w:pPr>
        <w:spacing w:after="60" w:before="0" w:line="320"/>
        <w:jc w:val="left"/>
      </w:pPr>
      <w:r>
        <w:rPr>
          <w:rFonts w:ascii="Calibri" w:cs="Calibri" w:eastAsia="Calibri" w:hAnsi="Calibri"/>
          <w:b/>
          <w:bCs/>
          <w:color w:val="059669"/>
          <w:sz w:val="22"/>
          <w:szCs w:val="22"/>
        </w:rPr>
        <w:t xml:space="preserve">•  Reduksi blind zone 89%: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dari 38 km baseline (sistem operasional InaEEWS pre-DQI) ke 11 km dengan Stage 0 sub-detik. Area warning meningkat 8,2× — populasi yang sebelumnya tidak ter-warning sekarang masuk radius effective.</w:t>
      </w:r>
    </w:p>
    <w:p>
      <w:pPr>
        <w:spacing w:after="60" w:before="0" w:line="320"/>
        <w:jc w:val="left"/>
      </w:pPr>
      <w:r>
        <w:rPr>
          <w:rFonts w:ascii="Calibri" w:cs="Calibri" w:eastAsia="Calibri" w:hAnsi="Calibri"/>
          <w:b/>
          <w:bCs/>
          <w:color w:val="059669"/>
          <w:sz w:val="22"/>
          <w:szCs w:val="22"/>
        </w:rPr>
        <w:t xml:space="preserve">•  Akurasi spektral melampaui GMPE: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R² 0,7091 vs A&amp;B 2003 GMPE 0,642. Δ +0,067 = 5× tipikal improvement publikasi GMPE major. p&lt;0,001 statistical significance.</w:t>
      </w:r>
    </w:p>
    <w:p>
      <w:pPr>
        <w:spacing w:after="0" w:before="0" w:line="320"/>
        <w:jc w:val="left"/>
      </w:pPr>
      <w:r>
        <w:rPr>
          <w:rFonts w:ascii="Calibri" w:cs="Calibri" w:eastAsia="Calibri" w:hAnsi="Calibri"/>
          <w:b/>
          <w:bCs/>
          <w:color w:val="059669"/>
          <w:sz w:val="22"/>
          <w:szCs w:val="22"/>
        </w:rPr>
        <w:t xml:space="preserve">•  Katalog-independen: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sistem tidak butuh hipocenter inversion atau catalog reference. Single-station P-wave langsung ke output. Operasional di area dengan network density rendah.</w:t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3 — Pesan 1 PARADIGMA: Validasi Empirik  (60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"Pesan paradigma BUKAN klaim filosofis tanpa dukungan — ia divalidasi dengan 4 layer empirik:"</w:t>
      </w:r>
    </w:p>
    <w:p>
      <w:pPr>
        <w:spacing w:after="60" w:before="0" w:line="320"/>
        <w:jc w:val="left"/>
      </w:pPr>
      <w:r>
        <w:rPr>
          <w:rFonts w:ascii="Calibri" w:cs="Calibri" w:eastAsia="Calibri" w:hAnsi="Calibri"/>
          <w:b/>
          <w:bCs/>
          <w:color w:val="1E40AF"/>
          <w:sz w:val="22"/>
          <w:szCs w:val="22"/>
        </w:rPr>
        <w:t xml:space="preserve">Validasi A: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GMPE A&amp;B 2003 baseline comparison — Δ +0,067 R² substantial superiority.</w:t>
      </w:r>
    </w:p>
    <w:p>
      <w:pPr>
        <w:spacing w:after="60" w:before="0" w:line="320"/>
        <w:jc w:val="left"/>
      </w:pPr>
      <w:r>
        <w:rPr>
          <w:rFonts w:ascii="Calibri" w:cs="Calibri" w:eastAsia="Calibri" w:hAnsi="Calibri"/>
          <w:b/>
          <w:bCs/>
          <w:color w:val="1E40AF"/>
          <w:sz w:val="22"/>
          <w:szCs w:val="22"/>
        </w:rPr>
        <w:t xml:space="preserve">Validasi B: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Temporal holdout (training 2008-2022, test 2023-2024) — degradation hanya 1,5-2% across stages, genuine generalization.</w:t>
      </w:r>
    </w:p>
    <w:p>
      <w:pPr>
        <w:spacing w:after="60" w:before="0" w:line="320"/>
        <w:jc w:val="left"/>
      </w:pPr>
      <w:r>
        <w:rPr>
          <w:rFonts w:ascii="Calibri" w:cs="Calibri" w:eastAsia="Calibri" w:hAnsi="Calibri"/>
          <w:b/>
          <w:bCs/>
          <w:color w:val="1E40AF"/>
          <w:sz w:val="22"/>
          <w:szCs w:val="22"/>
        </w:rPr>
        <w:t xml:space="preserve">Validasi C: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Al Atik formal sigma decomposition — τ=0,135, φ=0,351, σ=0,376 — semua lebih rendah dari GMPE referensi.</w:t>
      </w:r>
    </w:p>
    <w:p>
      <w:pPr>
        <w:spacing w:after="0" w:before="0" w:line="320"/>
        <w:jc w:val="left"/>
      </w:pPr>
      <w:r>
        <w:rPr>
          <w:rFonts w:ascii="Calibri" w:cs="Calibri" w:eastAsia="Calibri" w:hAnsi="Calibri"/>
          <w:b/>
          <w:bCs/>
          <w:color w:val="1E40AF"/>
          <w:sz w:val="22"/>
          <w:szCs w:val="22"/>
        </w:rPr>
        <w:t xml:space="preserve">Validasi Triangulasi: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Argmax 0,683 &lt; Marginalisation 0,7091 &lt; Oracle 0,754 — Bayesian marginalisation menutup 37% gap menuju Oracle, mengkonfirmasi superioritas vs hard classification.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"Empat layer validasi independen — semua konvergen ke kesimpulan yang sama: pergeseran paradigma BERHASIL secara empirik. Ini bukan klaim teoretis, tetapi fakta yang divalidasi triangulated.""</w:t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4 — Pesan 2 EMPIRIK: 81% Physics Ceiling  (75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"Pesan kedua: EMPIRIK — Capaian 0,7091 = 81% dari maksimum fisika absolut (0,873). Outstanding untuk single-station EEWS subduksi.""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59669" w:sz="4"/>
              <w:left w:val="single" w:color="059669" w:sz="24"/>
              <w:bottom w:val="single" w:color="059669" w:sz="4"/>
              <w:right w:val="single" w:color="059669" w:sz="4"/>
            </w:tcBorders>
            <w:shd w:fill="D1FAE5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18"/>
                <w:szCs w:val="18"/>
              </w:rPr>
              <w:t xml:space="preserve">◆  PESAN 2 — EMPIRIK</w:t>
            </w:r>
          </w:p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color w:val="0F172A"/>
                <w:sz w:val="22"/>
                <w:szCs w:val="22"/>
              </w:rPr>
              <w:t xml:space="preserve">Pesan 2: Capaian 0,7091 = 81% dari maksimum fisika absolut (0,873). Outstanding untuk single-station EEWS subduksi. Validasi 25.058 trace · 338 events · 99,44% Golden Time Compliance · retrospektif Cianjur 2022 + Sumedang 2024.</w:t>
            </w:r>
          </w:p>
        </w:tc>
      </w:tr>
    </w:tbl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spacing w:after="80" w:before="80" w:line="320"/>
        <w:jc w:val="center"/>
      </w:pPr>
      <w:r>
        <w:rPr>
          <w:rFonts w:ascii="Cambria Math" w:cs="Cambria Math" w:eastAsia="Cambria Math" w:hAnsi="Cambria Math"/>
          <w:color w:val="0F172A"/>
          <w:sz w:val="26"/>
          <w:szCs w:val="26"/>
        </w:rPr>
        <w:t xml:space="preserve">R² IDA-PTW = 0,7091  =  81,2% × Physics Ceiling 0,873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"Mengapa "physics ceiling 0,873" penting untuk dipahami? Karena ia menjelaskan mengapa 0,7091 BUKAN angka kecil. Saya tidak gagal mencapai 0,99 — saya mencapai 81% dari MAKSIMUM TEORETIS yang tersedia untuk single-station EEWS subduksi. Sisanya 19% adalah variansi inherent dari path heterogeneity, source mechanism, dan site amplification yang TIDAK BISA diprediksi dari single-station P-wave, tidak peduli teknologi yang dipakai.""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"Untuk approach close to 100% R², kita butuh multi-station inversion atau information yang fundamentally berbeda dari yang tersedia di single-station P-wave. Itu adalah scope future work (Paper 2-3), bukan limitation arsitektur saat ini. Saya mendekati teoretis maksimum dengan margin 2 poin saja — ruang improvement minimal yang available.""</w:t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5 — Pesan 2 EMPIRIK: Outstanding Single-Station Subduksi  (60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"Mengapa "outstanding untuk single-station EEWS subduksi"? Konteks comparative dengan literatur:"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436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Sistem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R²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Konteks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A&amp;B 2003 GMPE subduksi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0,642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Empirik global, 2.500+ citations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BC Hydro Abrahamson 2016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0,656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Subduksi Cascadia/Cocos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NGA-West2 Boore 2014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0,624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Crustal NGA-West2 USA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Dai et al. 2024 XGBoost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0"/>
                <w:szCs w:val="20"/>
              </w:rPr>
              <w:t xml:space="preserve">~0,68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Single Sa K-NET, ML EEWS subduksi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IDA-PTW (Ours)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0,7091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Single-station Java-Sunda, full 103 periode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20"/>
                <w:szCs w:val="20"/>
              </w:rPr>
              <w:t xml:space="preserve">Physics Ceiling Absolute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20"/>
                <w:szCs w:val="20"/>
              </w:rPr>
              <w:t xml:space="preserve">0,873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Theoretical maximum, information limit</w:t>
            </w:r>
          </w:p>
        </w:tc>
      </w:tr>
    </w:tbl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"IDA-PTW R² 0,7091 substansial di atas semua GMPE klasik dan kompetitor ML modern. Frasa "outstanding for single-station EEWS subduksi" bukan superlatif — ia statement empirik yang dijustifikasi dengan literature comparison.""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"Validasi pada angka konkret: 25.058 trace × 338 events × 16 tahun observasi BMKG = salah satu dataset terbesar untuk single-station subduksi EEWS. Validasi retrospektif pada gempa Cianjur 2022 (Mw 5,6) dan Sumedang 2024 (Mw 4,8) — 99,44% Golden Time Compliance, yaitu sistem berhasil memberikan warning dalam window yang berguna untuk action.""</w:t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6 — Pesan 3 DAMPAK: Konteks Cianjur + Sumedang  (75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"Pesan ketiga dan paling personal: DAMPAK — Riset ini lahir dari kebutuhan operasional Indonesia (gempa Cianjur, Sumedang yang menelan korban) dan kembali untuk melayani Indonesia melalui InaTEWS BMKG.""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7706" w:sz="4"/>
              <w:left w:val="single" w:color="D97706" w:sz="24"/>
              <w:bottom w:val="single" w:color="D97706" w:sz="4"/>
              <w:right w:val="single" w:color="D97706" w:sz="4"/>
            </w:tcBorders>
            <w:shd w:fill="FEF3C7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◆  PESAN 3 — DAMPAK</w:t>
            </w:r>
          </w:p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color w:val="0F172A"/>
                <w:sz w:val="22"/>
                <w:szCs w:val="22"/>
              </w:rPr>
              <w:t xml:space="preserve">Pesan 3: Riset ini lahir dari kebutuhan operasional Indonesia (gempa Cianjur, Sumedang yang menelan korban) dan kembali untuk melayani Indonesia melalui InaTEWS BMKG. Paper 1 keystone disertasi · Paper 2-5 roadmap pasca-doktoral.</w:t>
            </w:r>
          </w:p>
        </w:tc>
      </w:tr>
    </w:tbl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"Cianjur 21 November 2022, Mw 5,6 — 600+ korban jiwa. Sumedang 31 Desember 2023, Mw 4,8 — kerusakan rumah sakit + sekolah. Dua gempa moderate yang dekat populasi padat, yang seharusnya bisa diberi warning oleh sistem yang tepat. Tetapi sistem operasional Indonesia saat itu — InaEEWS BMKG pre-DQI dengan latency 30-60 detik — tidak dapat memberikan warning effective.""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"Saya tidak memulai disertasi ini dari ambisi akademik abstract. Saya memulai dari pertanyaan praktis: bagaimana caranya Indonesia memiliki EEWS yang dapat melindungi populasi padat di Java-Sunda dari gempa-gempa moderate dekat seperti Cianjur dan Sumedang? Setiap design decision IDA-PTW — sub-detik latency, class-conditional architecture untuk imbalanced data Indonesia, sigma decomposition untuk PSHA Indonesia — semuanya berakar pada konteks ini.""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2626" w:sz="4"/>
              <w:left w:val="single" w:color="DC2626" w:sz="24"/>
              <w:bottom w:val="single" w:color="DC2626" w:sz="4"/>
              <w:right w:val="single" w:color="DC2626" w:sz="4"/>
            </w:tcBorders>
            <w:shd w:fill="FEE2E2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8"/>
                <w:szCs w:val="18"/>
              </w:rPr>
              <w:t xml:space="preserve">⚑  MOTIVASI MORAL</w:t>
            </w:r>
          </w:p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Disertasi ini bukan academic exercise yang abstract. Ia adalah respons engineering terhadap tragedi konkret yang menimpa Indonesia. Cianjur 2022 dan Sumedang 2023 bukan test cases untuk algoritma — keduanya adalah motivasi moral yang menggerakkan setiap baris code, setiap angka pencapaian, setiap kontribusi metodologis.</w:t>
            </w:r>
          </w:p>
        </w:tc>
      </w:tr>
    </w:tbl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7 — Pesan 3 DAMPAK: Roadmap InaTEWS BMKG  (75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"Frasa "kembali untuk melayani Indonesia melalui InaTEWS BMKG" bukan sekadar tagline — ia roadmap konkret pasca-doktoral:"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4360"/>
      </w:tblGrid>
      <w:tr>
        <w:trPr>
          <w:tblHeader/>
        </w:trP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Paper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Topik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Paper 1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Disertasi keystone (this work)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IEEE Access 2026 (in review)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0"/>
                <w:szCs w:val="20"/>
              </w:rPr>
              <w:t xml:space="preserve">Paper 2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Operational deployment InaTEWS BMKG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Pilot deployment 5-10 sensor + monitoring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0"/>
                <w:szCs w:val="20"/>
              </w:rPr>
              <w:t xml:space="preserve">Paper 3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Hybrid network + on-site EEWS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Multi-station fusion architecture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0"/>
                <w:szCs w:val="20"/>
              </w:rPr>
              <w:t xml:space="preserve">Paper 4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Subduction-specific feature engineering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Depth-phase, slab geometry features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0"/>
                <w:szCs w:val="20"/>
              </w:rPr>
              <w:t xml:space="preserve">Paper 5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Regional extension Indonesia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Sumatra megathrust + Sulawesi + Papua</w:t>
            </w:r>
          </w:p>
        </w:tc>
      </w:tr>
    </w:tbl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"Paper 1 adalah keystone — fondasi metodologis yang akan menopang Paper 2-5. Paper 2 paling kritis untuk Indonesia: deployment di InaTEWS BMKG dengan partner BMKG (yang sudah memiliki preliminary discussion). Paper 3-4 adalah pengayaan teknis. Paper 5 adalah extension regional. Roadmap pasca-doktoral 5 tahun yang systematic — bukan terisolasi, tetapi kontinuasi natural dari Paper 1.""</w:t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8 — Tagline: Indonesian Identity  (60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"Mari saya kembali ke tagline penutup yang muncul di slide:"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4"/>
              <w:left w:val="single" w:color="F59E0B" w:sz="24"/>
              <w:bottom w:val="single" w:color="F59E0B" w:sz="4"/>
              <w:right w:val="single" w:color="F59E0B" w:sz="4"/>
            </w:tcBorders>
            <w:shd w:fill="FEF3C7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59E0B"/>
                <w:sz w:val="18"/>
                <w:szCs w:val="18"/>
              </w:rPr>
              <w:t xml:space="preserve">◆  TAGLINE PENUTUP</w:t>
            </w:r>
          </w:p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59E0B"/>
                <w:sz w:val="28"/>
                <w:szCs w:val="28"/>
              </w:rPr>
              <w:t xml:space="preserve">"Riset ini lahir dari kebutuhan Indonesia, dan kembali untuk melayani Indonesia"</w:t>
            </w:r>
          </w:p>
        </w:tc>
      </w:tr>
    </w:tbl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"Tagline ini bukan slogan kosong — ia statement identitas akademik yang spesifik. Pertama: "lahir dari kebutuhan Indonesia". IDA-PTW didesign untuk konteks operational Indonesia spesifik: subduksi Java-Sunda, distribusi gempa imbalanced 77/22/1 yang khusus Indonesia, populasi 270 juta yang harus dilindungi, BMKG strong-motion network yang sudah ada.""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"Kedua: "kembali untuk melayani Indonesia". Setiap kontribusi metodologis dirancang untuk dapat di-deploy di operational system Indonesia. Open source MIT license + Zenodo DOI + dokumentasi lengkap memastikan reproducibility. Roadmap Paper 2-5 pasca-doktoral memastikan kontinuasi development. Tidak terisolasi sebagai paper publikasi internasional saja — tetapi infrastruktur metodologis yang dapat disubmit kembali ke ekosistem deployment Indonesia.""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"Tagline ini reflective dari dua nilai: (1) integritas akademik — research adalah service, bukan personal achievement. (2) tanggung jawab nasional — sebagai seorang akademisi Indonesia di FMIPA UI dengan dukungan BMKG, kontribusi research saya seharusnya bermanfaat untuk masyarakat Indonesia. Disertasi ini adalah ekspresi konkret dari kedua nilai tersebut.""</w:t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9 — Lima Kontribusi Metodologis sebagai Legacy  (45 detik)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"Selain tiga pesan utama, saya tinggalkan lima kontribusi metodologis sebagai legacy untuk literature ML EEWS subduksi:"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00"/>
        <w:gridCol w:w="4360"/>
      </w:tblGrid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1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Pipeline 3-Stage Cascade + Adaptive PTW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UNIQUE — tidak ada kompetitor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2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Class-Conditional + Posterior Marginalisation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UNIQUE di EEWS-ML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3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Honest Negative Reporting (Stage 1.5)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UNIQUE EEWS literature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4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Al Atik Sigma Decomposition Indonesia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First in EEWS-ML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0"/>
                <w:szCs w:val="20"/>
              </w:rPr>
              <w:t xml:space="preserve">5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20"/>
                <w:szCs w:val="20"/>
              </w:rPr>
              <w:t xml:space="preserve">90-Feature Orthogonal Architecture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Substantially richer dari literatur</w:t>
            </w:r>
          </w:p>
        </w:tc>
      </w:tr>
    </w:tbl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/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"Tiga pesan utama akan menjadi headline yang diingat audiens. Lima kontribusi metodologis akan menjadi legacy yang di-replicate dan di-extend oleh peneliti lain. Bersama-sama, mereka adalah pertanggungjawaban scientific yang lengkap.""</w:t>
      </w:r>
    </w:p>
    <w:p>
      <w:pPr>
        <w:pStyle w:val="Heading2"/>
        <w:spacing w:after="180" w:before="360"/>
      </w:pPr>
      <w:r>
        <w:rPr>
          <w:rFonts w:ascii="Calibri" w:cs="Calibri" w:eastAsia="Calibri" w:hAnsi="Calibri"/>
          <w:b/>
          <w:bCs/>
          <w:color w:val="1E40AF"/>
          <w:sz w:val="28"/>
          <w:szCs w:val="28"/>
        </w:rPr>
        <w:t xml:space="preserve">Segmen 10 — Penutup Strategis  (30 detik)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4"/>
              <w:left w:val="single" w:color="F59E0B" w:sz="24"/>
              <w:bottom w:val="single" w:color="F59E0B" w:sz="4"/>
              <w:right w:val="single" w:color="F59E0B" w:sz="4"/>
            </w:tcBorders>
            <w:shd w:fill="F8FAFC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59E0B"/>
                <w:sz w:val="18"/>
                <w:szCs w:val="18"/>
              </w:rPr>
              <w:t xml:space="preserve">◆  PESAN PENUTUP</w:t>
            </w:r>
          </w:p>
          <w:p>
            <w:pPr>
              <w:spacing w:after="8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8"/>
                <w:szCs w:val="28"/>
              </w:rPr>
              <w:t xml:space="preserve">PARADIGMA. EMPIRIK. DAMPAK.</w:t>
            </w:r>
          </w:p>
          <w:p>
            <w:pPr>
              <w:spacing w:after="80" w:before="0" w:line="320"/>
              <w:jc w:val="center"/>
            </w:pPr>
            <w:r>
              <w:rPr>
                <w:rFonts w:ascii="Calibri" w:cs="Calibri" w:eastAsia="Calibri" w:hAnsi="Calibri"/>
                <w:color w:val="1E40AF"/>
                <w:sz w:val="22"/>
                <w:szCs w:val="22"/>
              </w:rPr>
              <w:t xml:space="preserve">"Tiga dimensi yang membentuk pertanggungjawaban scientific lengkap. Pergeseran paradigma intensity-driven yang dijustifikasi secara teoretis dan empirik. Capaian R² 0,7091 = 81% dari physics ceiling absolut, outstanding untuk single-station subduksi. Riset yang lahir dari kebutuhan Indonesia dan kembali untuk melayani Indonesia melalui InaTEWS BMKG. Itulah IDA-PTW — bukan sekadar pipeline machine learning, tetapi infrastruktur metodologis yang dirancang untuk konteks Indonesia, divalidasi rigorous, dan committed kepada keselamatan publik."</w:t>
            </w:r>
          </w:p>
          <w:p>
            <w:pPr>
              <w:spacing w:after="0" w:before="0" w:line="3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Sekian paparan disertasi saya. Terima kasih atas perhatian Bapak/Ibu Promotor dan Guru Besar.</w:t>
            </w:r>
          </w:p>
        </w:tc>
      </w:tr>
    </w:tbl>
    <w:p>
      <w:pPr>
        <w:pStyle w:val="Heading1"/>
        <w:spacing w:after="180" w:before="480"/>
      </w:pPr>
      <w:r>
        <w:rPr>
          <w:rFonts w:ascii="Calibri" w:cs="Calibri" w:eastAsia="Calibri" w:hAnsi="Calibri"/>
          <w:b/>
          <w:bCs/>
          <w:color w:val="0F172A"/>
          <w:sz w:val="36"/>
          <w:szCs w:val="36"/>
        </w:rPr>
        <w:t xml:space="preserve">Catatan untuk Presentasi</w:t>
      </w:r>
    </w:p>
    <w:p>
      <w:pPr>
        <w:pStyle w:val="Heading3"/>
        <w:spacing w:after="180" w:before="360"/>
      </w:pPr>
      <w:r>
        <w:rPr>
          <w:rFonts w:ascii="Calibri" w:cs="Calibri" w:eastAsia="Calibri" w:hAnsi="Calibri"/>
          <w:b/>
          <w:bCs/>
          <w:color w:val="0F172A"/>
          <w:sz w:val="24"/>
          <w:szCs w:val="24"/>
        </w:rPr>
        <w:t xml:space="preserve">Tempo Bicara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>Total ±10 menit. Slide ini adalah climax disertasi — tempo perlu deliberate dan emotional resonant. Bukan triumphant, tetapi serious commitment.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>Saat menyebut Cianjur 600+ korban dan Sumedang kerusakan rumah sakit + sekolah, tone respectful dan serius. Gempa adalah tragedi nyata.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>Tagline penutup "Riset ini lahir dari kebutuhan Indonesia, dan kembali untuk melayani Indonesia" — beri jeda 3-5 detik setelah mengucapkan untuk efek emotional resonance.</w:t>
      </w:r>
    </w:p>
    <w:p>
      <w:pPr>
        <w:spacing w:after="120" w:before="0" w:line="320"/>
        <w:jc w:val="left"/>
      </w:pPr>
      <w:r>
        <w:rPr>
          <w:rFonts w:ascii="Calibri" w:cs="Calibri" w:eastAsia="Calibri" w:hAnsi="Calibri"/>
          <w:b w:val="false"/>
          <w:bCs w:val="false"/>
          <w:color w:val="374151"/>
          <w:sz w:val="22"/>
          <w:szCs w:val="22"/>
        </w:rPr>
        <w:t xml:space="preserve">Closing line "Sekian paparan disertasi saya. Terima kasih..." — formal acknowledgment yang menutup presentation dengan grace.</w:t>
      </w:r>
    </w:p>
    <w:p>
      <w:pPr>
        <w:pStyle w:val="Heading3"/>
        <w:spacing w:after="180" w:before="360"/>
      </w:pPr>
      <w:r>
        <w:rPr>
          <w:rFonts w:ascii="Calibri" w:cs="Calibri" w:eastAsia="Calibri" w:hAnsi="Calibri"/>
          <w:b/>
          <w:bCs/>
          <w:color w:val="0F172A"/>
          <w:sz w:val="24"/>
          <w:szCs w:val="24"/>
        </w:rPr>
        <w:t xml:space="preserve">Antisipasi 8 Pertanyaan Kritis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Pertanyaan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F17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Jawaban Singkat (frasa siap pakai)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Mengapa hanya 3 pesan, bukan 5 atau 7?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3 adalah cognitive sweet spot — manusia dapat menyerap 3 items sekaligus tanpa overload. Untuk pesan terakhir disertasi yang harus diingat audiens, 3 adalah optimal. Lima kontribusi metodologis dibahas di slide sebelumnya untuk reviewer akademik; tiga pesan utama adalah versi yang dapat diingat publik.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Apakah pergeseran paradigma intensity-driven really paradigma shift atau marginal innovation?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Substantive shift. Source-centric paradigma dominasi 30+ tahun (Wu Kanamori 2007 dan keturunannya). Intensity-driven IDA-PTW mengubah workflow: skip source estimation, direct ke impact prediction. Validated empirik dengan 4 layer (GMPE comparison, temporal holdout, sigma decomposition, triangulation). Bukan klaim — fakta yang dapat dipertanggungjawabkan.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R² 0,7091 — untuk audiens awam, apakah angka ini meaningful?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Untuk audiens awam: artinya sistem benar dalam 71% kasus. Lebih meaningful: ia adalah 81% dari maksimum yang available untuk teknologi single-station saat ini. Untuk konteks operational: latency sub-detik dengan akurasi 71% lebih bernilai daripada latency 30 detik dengan akurasi 75%, karena setiap detik memberikan ruang aksi yang lebih besar.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Pesan DAMPAK terdengar emosional. Apakah ini akademik appropriate?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Akademik dapat akomodasi context. Cianjur 2022 (600+ korban) dan Sumedang 2023 (kerusakan struktural) adalah fakta empirik. Mengakui motivasi dari konteks tragis Indonesia bukan emosional manipulation — ia honest acknowledgment scope research. Reviewer yang seasoned akan respect kombinasi rigor + relevance.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Bagaimana cara Paper 1 ini siap untuk InaTEWS BMKG deployment?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Paper 1 = methodology foundation. Paper 2 = operational deployment plan dengan BMKG sebagai partner. Paper 1 saat ini under-review IEEE Access 2026; Paper 2 dalam preliminary discussion dengan BMKG untuk pilot deployment 5-10 sensor. Roadmap konkret bukan aspirational.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Apakah lima kontribusi metodologis akan benar-benar di-replicate?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Saya design untuk maximize replicability: (1) MIT license + Zenodo DOI untuk code+weights, (2) dokumentasi rigorous (manuscript v3 + evidence document), (3) random seed 42 untuk exact replication, (4) cross-validation indices saved. Komunitas EEWS-ML subduksi akan dapat replicate dan extend dalam single command.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Mengapa Anda tidak include angka korban di pesan DAMPAK?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Pertimbangan etika. Angka korban (600+ Cianjur) di-mention sebagai konteks tetapi bukan dipakai sebagai metric pencapaian. IDA-PTW tidak claim "akan menyelamatkan X jiwa" karena counterfactual untuk gempa retrospektif tidak provable. Honest scoping dari claim research.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F172A"/>
                <w:sz w:val="20"/>
                <w:szCs w:val="20"/>
              </w:rPr>
              <w:t xml:space="preserve">Apakah ini disertasi terakhir dari rangkaian, atau awal?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3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20"/>
                <w:szCs w:val="20"/>
              </w:rPr>
              <w:t xml:space="preserve">Awal. Paper 1 keystone, Paper 2-5 adalah pasca-doktoral roadmap 5 tahun. Disertasi ini adalah fondasi — bukan endpoint. "Riset ini kembali untuk melayani Indonesia" mengindikasikan kontinuasi, bukan kesimpulan akhir karir akademik.</w:t>
            </w:r>
          </w:p>
        </w:tc>
      </w:tr>
    </w:tbl>
    <w:p>
      <w:pPr>
        <w:spacing w:after="120" w:before="360" w:line="320"/>
        <w:jc w:val="center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— Akhir Dokumen Narasi Kesimpulan Akhir —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 w:line="320"/>
      <w:jc w:val="left"/>
    </w:pPr>
    <w:r>
      <w:rPr>
        <w:rFonts w:ascii="Calibri" w:cs="Calibri" w:eastAsia="Calibri" w:hAnsi="Calibri"/>
        <w:color w:val="6B7280"/>
        <w:sz w:val="16"/>
        <w:szCs w:val="16"/>
      </w:rPr>
      <w:t xml:space="preserve">Hanif A. Nugraha · FMIPA UI · BMKG	</w:t>
    </w:r>
    <w:r>
      <w:rPr>
        <w:rFonts w:ascii="Calibri" w:cs="Calibri" w:eastAsia="Calibri" w:hAnsi="Calibri"/>
        <w:color w:val="6B7280"/>
        <w:sz w:val="16"/>
        <w:szCs w:val="16"/>
      </w:rPr>
      <w:t xml:space="preserve">Halaman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7280"/>
        <w:sz w:val="16"/>
        <w:szCs w:val="16"/>
      </w:rPr>
      <w:t xml:space="preserve"> dari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 w:line="320"/>
      <w:jc w:val="left"/>
    </w:pPr>
    <w:r>
      <w:rPr>
        <w:rFonts w:ascii="Calibri" w:cs="Calibri" w:eastAsia="Calibri" w:hAnsi="Calibri"/>
        <w:b/>
        <w:bCs/>
        <w:color w:val="1E40AF"/>
        <w:sz w:val="16"/>
        <w:szCs w:val="16"/>
      </w:rPr>
      <w:t xml:space="preserve">IDA-PTW EEWS · </w:t>
    </w:r>
    <w:r>
      <w:rPr>
        <w:rFonts w:ascii="Calibri" w:cs="Calibri" w:eastAsia="Calibri" w:hAnsi="Calibri"/>
        <w:color w:val="6B7280"/>
        <w:sz w:val="16"/>
        <w:szCs w:val="16"/>
      </w:rPr>
      <w:t xml:space="preserve">Narasi Kesimpulan Akhir — Tiga Pesan Utama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Calibri" w:cs="Calibri" w:eastAsia="Calibri" w:hAnsi="Calibri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360"/>
      <w:outlineLvl w:val="1"/>
    </w:pPr>
    <w:rPr>
      <w:rFonts w:ascii="Calibri" w:cs="Calibri" w:eastAsia="Calibri" w:hAnsi="Calibri"/>
      <w:b/>
      <w:bCs/>
      <w:color w:val="1E40AF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Calibri" w:cs="Calibri" w:eastAsia="Calibri" w:hAnsi="Calibri"/>
      <w:b/>
      <w:bCs/>
      <w:color w:val="0F172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2026-05-05T13:31:08.301Z</dcterms:created>
  <dcterms:modified xsi:type="dcterms:W3CDTF">2026-05-05T13:31:08.302Z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