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left"/>
      </w:pPr>
      <w:r>
        <w:rPr>
          <w:b/>
          <w:bCs/>
          <w:color w:val="1F3A93"/>
          <w:sz w:val="16"/>
          <w:szCs w:val="16"/>
        </w:rPr>
        <w:t xml:space="preserve">IDA-PTW EEWS</w:t>
      </w:r>
      <w:r>
        <w:rPr>
          <w:color w:val="566573"/>
          <w:sz w:val="16"/>
          <w:szCs w:val="16"/>
        </w:rPr>
        <w:t xml:space="preserve">  •  Narasi Slide Roadmap Disertasi</w:t>
      </w:r>
    </w:p>
    <w:p>
      <w:pPr>
        <w:spacing w:after="60" w:before="120"/>
        <w:jc w:val="center"/>
      </w:pPr>
      <w:r>
        <w:rPr>
          <w:b/>
          <w:bCs/>
          <w:color w:val="000000"/>
          <w:sz w:val="44"/>
          <w:szCs w:val="44"/>
        </w:rPr>
        <w:t xml:space="preserve">NARASI ROADMAP DISERTASI</w:t>
      </w:r>
    </w:p>
    <w:p>
      <w:pPr>
        <w:spacing w:after="200"/>
        <w:jc w:val="center"/>
      </w:pPr>
      <w:r>
        <w:rPr>
          <w:b/>
          <w:bCs/>
          <w:color w:val="1F3A93"/>
          <w:sz w:val="28"/>
          <w:szCs w:val="28"/>
        </w:rPr>
        <w:t xml:space="preserve">3-Paper Strategy untuk Sidang Doktoral 2027 Q1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Naskah deep-dive untuk presentasi Monev / Sidang Progres Disertasi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Hanif Andi Nugraha · Departemen Fisika FMIPA UI · BMKG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Total durasi: ±10 menit · 10 segmen narasi</w:t>
      </w:r>
    </w:p>
    <w:p>
      <w:pPr>
        <w:spacing w:before="360"/>
        <w:jc w:val="center"/>
      </w:pPr>
      <w:r>
        <w:rPr>
          <w:sz w:val="8"/>
          <w:szCs w:val="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HEADLINE 3-PAPER STRATEGY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PAPER 1 (DONE) · BTS-I2C 2024 IEEE Xplore · GPD Picking · 10% kontribusi disertasi · Detection Layer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PAPER 2 (NOW) · IEEE Access Q1 OA · IDA-PTW R²=0,7091 · 80% kontribusi · Estimation Layer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PAPER 3 (NEXT) · IJECE/TELKOMNIKA Q3 Scopus · Prototipe Trigger Edge-Compute · 10% · Output &amp; Mitigation Layer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Total: 100% · Sequence: Detect → Estimate → Actuate · Sidang target: 2027 Q1 (feasible track)</w:t>
            </w:r>
          </w:p>
        </w:tc>
      </w:tr>
    </w:tbl>
    <w:p>
      <w:r>
        <w:br w:type="pag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1 — Mengapa Slide Roadmap Disertasi  (45 detik)</w:t>
      </w:r>
    </w:p>
    <w:p>
      <w:pPr>
        <w:spacing w:after="120" w:line="320"/>
        <w:jc w:val="both"/>
      </w:pPr>
      <w:r>
        <w:t xml:space="preserve">"Bapak/Ibu Promotor dan Penguji yang saya hormati, slide ini adalah "</w:t>
      </w:r>
      <w:r>
        <w:rPr>
          <w:b/>
          <w:bCs/>
        </w:rPr>
        <w:t xml:space="preserve">"peta jalan akademik disertasi saya"</w:t>
      </w:r>
      <w:r>
        <w:t xml:space="preserve">" — bukan hanya laporan progres, melainkan komitmen tertulis tentang bagaimana riset doktoral ini akan diselesaikan dalam tiga publikasi yang saling melengkapi."</w:t>
      </w:r>
      <w:r>
        <w:rPr>
          <w:i/>
          <w:iCs/>
        </w:rPr>
        <w:t xml:space="preserve">" Saya pilih untuk menampilkannya sebagai satu visual tunggal yang clear agar Bapak/Ibu dapat menilai kelayakan timeline, kebaruan kontribusi, dan koherensi narasi disertasi dalam satu pandangan."</w:t>
      </w:r>
    </w:p>
    <w:p>
      <w:pPr>
        <w:spacing w:after="120" w:line="320"/>
        <w:jc w:val="both"/>
      </w:pPr>
      <w:r>
        <w:t xml:space="preserve">"Filosofinya sederhana: disertasi yang baik harus menutupi seluruh "</w:t>
      </w:r>
      <w:r>
        <w:rPr>
          <w:b/>
          <w:bCs/>
        </w:rPr>
        <w:t xml:space="preserve">"end-to-end pipeline EEWS"</w:t>
      </w:r>
      <w:r>
        <w:t xml:space="preserve">" — dari deteksi hingga aktuasi. Tiga paper saya susun untuk menutupi tiga lapisan tersebut, dengan distribusi kontribusi 10% + 80% + 10% sehingga total mencapai 100% kelaikan akademik."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2 — Filosofi 3-Paper Strategy: Detect → Estimate → Actuate  (75 detik)</w:t>
      </w:r>
    </w:p>
    <w:p>
      <w:pPr>
        <w:spacing w:after="120" w:line="320"/>
        <w:jc w:val="both"/>
      </w:pPr>
      <w:r>
        <w:t xml:space="preserve">"Sebelum membahas paper per paper, saya ingin menjelaskan "</w:t>
      </w:r>
      <w:r>
        <w:rPr>
          <w:b/>
          <w:bCs/>
        </w:rPr>
        <w:t xml:space="preserve">"logika sekuensial"</w:t>
      </w:r>
      <w:r>
        <w:t xml:space="preserve">" yang menyatukan ketiganya. Sistem peringatan dini gempa adalah pipeline tiga lapis fundamental:"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TIGA LAPISAN FUNDAMENTAL EEWS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DETECT — Pipeline harus tahu kapan gempa benar-benar terjadi (membedakan dari noise lingkungan). Output: timestamp &amp; probabilitas.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ESTIMATE — Pipeline harus memprediksi seberapa keras getaran akan terasa di setiap lokasi (intensitas + spektrum respons). Output: nilai numerik per stasiun &amp; per periode struktur.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ACTUATE — Pipeline harus mengubah prediksi menjadi sinyal kontrol fisik untuk perangkat infrastruktur (relay, valve, brake). Output: trigger digital ke aktuator nyata.</w:t>
            </w:r>
          </w:p>
        </w:tc>
      </w:tr>
    </w:tbl>
    <w:p>
      <w:pPr>
        <w:spacing w:after="120" w:line="320"/>
        <w:jc w:val="both"/>
      </w:pPr>
      <w:r>
        <w:t xml:space="preserve">"Tanpa salah satu dari tiga lapisan ini, sistem EEWS tidak "</w:t>
      </w:r>
      <w:r>
        <w:rPr>
          <w:i/>
          <w:iCs/>
        </w:rPr>
        <w:t xml:space="preserve">"operasional"</w:t>
      </w:r>
      <w:r>
        <w:t xml:space="preserve">" — ia hanya berhenti di laboratorium. Disertasi saya menutupi ketiganya: "</w:t>
      </w:r>
      <w:r>
        <w:rPr>
          <w:b/>
          <w:bCs/>
        </w:rPr>
        <w:t xml:space="preserve">"Paper 1 = Detect, Paper 2 = Estimate, Paper 3 = Actuate"</w:t>
      </w:r>
      <w:r>
        <w:t xml:space="preserve">". Dengan demikian audiens monev dapat memverifikasi bahwa narasi disertasi ini "</w:t>
      </w:r>
      <w:r>
        <w:rPr>
          <w:b/>
          <w:bCs/>
          <w:i/>
          <w:iCs/>
        </w:rPr>
        <w:t xml:space="preserve">"complete by design"</w:t>
      </w:r>
      <w:r>
        <w:t xml:space="preserve">", tidak ada gap konseptual yang menggantung."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3 — Paper 1 — DETECTION LAYER (BTS-I2C 2024)  (60 detik)</w:t>
      </w:r>
    </w:p>
    <w:p>
      <w:pPr>
        <w:spacing w:after="120" w:line="320"/>
        <w:jc w:val="both"/>
      </w:pPr>
      <w:r>
        <w:t xml:space="preserve">"Lapisan pertama sudah selesai, terbukti, dan ter-publikasi resmi. Paper 1 berjudul "</w:t>
      </w:r>
      <w:r>
        <w:rPr>
          <w:i/>
          <w:iCs/>
        </w:rPr>
        <w:t xml:space="preserve">""Deep Learning Phase Detection Models for Indonesian On-site EEWS Using Strong Motion Accelerograph Network""</w:t>
      </w:r>
      <w:r>
        <w:t xml:space="preserve">" — saya present di Beyond Technology Summit on Informatics International Conference (BTS-I2C) 2024 di Jember, terindeks IEEE Xplore dengan DOI 10.1109/BTS-I2C63534.2024.10942097."</w:t>
      </w:r>
    </w:p>
    <w:p>
      <w:pPr>
        <w:spacing w:after="120" w:line="320"/>
        <w:jc w:val="both"/>
      </w:pPr>
      <w:r>
        <w:t xml:space="preserve">"Inti kontribusi: implementasi GPD (Generalized Phase Detection) — model deep learning untuk picking gelombang P pada jaringan accelerograph BMKG. Metode ini menggantikan picker konvensional STA/LTA yang tidak reliable di lingkungan low-SNR Indonesia. "</w:t>
      </w:r>
      <w:r>
        <w:rPr>
          <w:b/>
          <w:bCs/>
        </w:rPr>
        <w:t xml:space="preserve">"Bobot kontribusi: 10% dari total disertasi"</w:t>
      </w:r>
      <w:r>
        <w:t xml:space="preserve">" — modest tapi solid karena memberikan "</w:t>
      </w:r>
      <w:r>
        <w:rPr>
          <w:i/>
          <w:iCs/>
        </w:rPr>
        <w:t xml:space="preserve">"input layer"</w:t>
      </w:r>
      <w:r>
        <w:t xml:space="preserve">" untuk Paper 2. Tanpa picker yang reliable, Stage 0/1 URPD di Paper 2 tidak akan berfungsi."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27AE60" w:sz="6"/>
              <w:left w:val="single" w:color="27AE60" w:sz="18"/>
              <w:bottom w:val="single" w:color="27AE60" w:sz="6"/>
              <w:right w:val="single" w:color="27AE60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STATUS PAPER 1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Status: ✓ DONE · sudah ter-publikasi &amp; terindeks. Tim penulis: Hanif A. Nugraha, F. M. Bali, T. Handayani, S. Pramono, A. H. Saputro, D. Djuhana. Co-author dengan Promotor (Bapak Dede Djuhana) dan tim BMKG.</w:t>
            </w:r>
          </w:p>
        </w:tc>
      </w:tr>
    </w:tbl>
    <w:p>
      <w:r>
        <w:br w:type="pag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4 — Paper 2 — ESTIMATION LAYER (IDA-PTW · Sedang Berlangsung)  (75 detik)</w:t>
      </w:r>
    </w:p>
    <w:p>
      <w:pPr>
        <w:spacing w:after="120" w:line="320"/>
        <w:jc w:val="both"/>
      </w:pPr>
      <w:r>
        <w:t xml:space="preserve">"Paper 2 adalah jantung disertasi — "</w:t>
      </w:r>
      <w:r>
        <w:rPr>
          <w:b/>
          <w:bCs/>
        </w:rPr>
        <w:t xml:space="preserve">"80% kontribusi"</w:t>
      </w:r>
      <w:r>
        <w:t xml:space="preserve">", sedang dalam proses submission ke IEEE Access Q1 OA. Judul: "</w:t>
      </w:r>
      <w:r>
        <w:rPr>
          <w:i/>
          <w:iCs/>
        </w:rPr>
        <w:t xml:space="preserve">""IDA-PTW: Intensity-Driven Adaptive P-Time Window for Earthquake Early Warning System""</w:t>
      </w:r>
      <w:r>
        <w:t xml:space="preserve">". Inti metode adalah pipeline 3-stage cascade dengan headline empirik R² = 0,7091 untuk regresi spektral lengkap pada 103 periode struktur."</w:t>
      </w:r>
    </w:p>
    <w:p>
      <w:pPr>
        <w:spacing w:after="120" w:line="320"/>
        <w:jc w:val="both"/>
      </w:pPr>
      <w:r>
        <w:t xml:space="preserve">"Yang membuat Paper 2 layak Q1 Q1: lima kontribusi metodologis utama yang telah Bapak/Ibu lihat di slide-slide sebelumnya — 90 fitur ortogonal empat famili, marginalisasi posterior Stage 2, validasi triple (GMPE / temporal / Al Atik mixed-effects), honest negative result Stage 1.5 distance regression, dan adaptive PTW {3, 5, 8} detik per kelas. Latensi sub-detik 0,5 s, blind zone reduction dari 38 km menjadi 11 km lalu 4 km."</w:t>
      </w:r>
    </w:p>
    <w:p>
      <w:pPr>
        <w:spacing w:after="120" w:line="320"/>
        <w:jc w:val="both"/>
      </w:pPr>
      <w:r>
        <w:t xml:space="preserve">"Status saat ini: manuscript sudah ditulis lengkap, internal review sudah dilakukan, target submission Q3 2026, ekspektasi acceptance Q4 2026 atau Q1 2027 — ini paralel dengan finalisasi Paper 3."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5 — Paper 3 — OUTPUT LAYER (Prototipe Trigger Edge-Compute · Q3)  (90 detik)</w:t>
      </w:r>
    </w:p>
    <w:p>
      <w:pPr>
        <w:spacing w:after="120" w:line="320"/>
        <w:jc w:val="both"/>
      </w:pPr>
      <w:r>
        <w:t xml:space="preserve">"Inilah paper yang mungkin paling perlu saya jelaskan secara detail di monev hari ini. Judulnya saya rumuskan secara sengaja sederhana: "</w:t>
      </w:r>
      <w:r>
        <w:rPr>
          <w:b/>
          <w:bCs/>
          <w:i/>
          <w:iCs/>
        </w:rPr>
        <w:t xml:space="preserve">""Prototipe Trigger EEWS Berbasis Edge-Compute untuk Infrastruktur Vital""</w:t>
      </w:r>
      <w:r>
        <w:t xml:space="preserve">". Targetnya jurnal Q3 Scopus seperti IJECE, TELKOMNIKA, atau Bulletin of EEI — bukan Q1."</w:t>
      </w:r>
    </w:p>
    <w:p>
      <w:pPr>
        <w:spacing w:after="120" w:line="320"/>
        <w:jc w:val="both"/>
      </w:pPr>
      <w:r>
        <w:t xml:space="preserve">"Mengapa Q3 dan bukan Q1? Tiga alasan strategis:"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6A085" w:sz="6"/>
              <w:left w:val="single" w:color="16A085" w:sz="18"/>
              <w:bottom w:val="single" w:color="16A085" w:sz="6"/>
              <w:right w:val="single" w:color="16A085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6A085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6A085"/>
                <w:sz w:val="18"/>
                <w:szCs w:val="18"/>
              </w:rPr>
              <w:t xml:space="preserve">TIGA ALASAN MEMILIH Q3 UNTUK PAPER 3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BOBOT KONTRIBUSI 10% — paper komplemen, bukan flagship. Ekspektasi akademik Q3 sudah cukup memuaskan untuk paper dengan bobot 10% dari disertasi total.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WAKTU REVIEW PENDEK — Q3 fast-track journals seperti IJECE rata-rata first decision 4-6 minggu, total acceptance 2-3 bulan. Ini critical untuk timeline sidang 2027 Q1.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SCOPE LAB-PROTOTYPE — paper ini bukan deployment lapangan dengan PLN/Pertamina (yang akan rumit secara legal/sertifikasi). Scope-nya prototype akademik di lab — terlalu modest untuk Q1, tepat untuk Q3.</w:t>
            </w:r>
          </w:p>
        </w:tc>
      </w:tr>
    </w:tbl>
    <w:p>
      <w:pPr>
        <w:spacing w:after="120" w:line="320"/>
        <w:jc w:val="both"/>
      </w:pPr>
      <w:r>
        <w:t xml:space="preserve">"Inti metode Paper 3 sederhana dan replicable: "</w:t>
      </w:r>
      <w:r>
        <w:rPr>
          <w:rFonts w:ascii="Cascadia Code" w:cs="Cascadia Code" w:eastAsia="Cascadia Code" w:hAnsi="Cascadia Code"/>
          <w:b/>
          <w:bCs/>
        </w:rPr>
        <w:t xml:space="preserve">"Sensor accelerometer → Raspberry Pi 5 atau Jetson Nano → IDA-PTW inference → Relay GPIO ke aktuator demonstration"</w:t>
      </w:r>
      <w:r>
        <w:t xml:space="preserve">". Latency budget yang ditargetkan kurang dari 500 ms end-to-end. Tiga skenario demo lab: hospital elevator stop, gas pipeline shut-off valve, MRT/HSR train brake. Replay accelerogram historis Cianjur 2022 (Mw 5,6) dan Sumedang 2023 (Mw 4,8) ke sensor real, ukur trigger latency."</w:t>
      </w:r>
    </w:p>
    <w:p>
      <w:pPr>
        <w:spacing w:after="120" w:line="320"/>
        <w:jc w:val="both"/>
      </w:pPr>
      <w:r>
        <w:t xml:space="preserve">"Yang penting untuk monev: Paper 3 "</w:t>
      </w:r>
      <w:r>
        <w:rPr>
          <w:b/>
          <w:bCs/>
        </w:rPr>
        <w:t xml:space="preserve">"tidak membutuhkan training ML baru"</w:t>
      </w:r>
      <w:r>
        <w:t xml:space="preserve">" — model dari Paper 2 di-deploy apa adanya. Yang baru hanyalah "</w:t>
      </w:r>
      <w:r>
        <w:rPr>
          <w:i/>
          <w:iCs/>
        </w:rPr>
        <w:t xml:space="preserve">"hardware-software integration layer"</w:t>
      </w:r>
      <w:r>
        <w:t xml:space="preserve">" — disiplin Fisika Instrumentasi murni. Hardware murah dan accessible (Raspberry Pi sudah bisa dibeli ritel di Jakarta), tidak butuh pengadaan FPGA atau ASIC."</w:t>
      </w:r>
    </w:p>
    <w:p>
      <w:r>
        <w:br w:type="pag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6 — Pipeline Coverage Map — 8 Lapisan Ditutupi 3 Paper  (60 detik)</w:t>
      </w:r>
    </w:p>
    <w:p>
      <w:pPr>
        <w:spacing w:after="120" w:line="320"/>
        <w:jc w:val="both"/>
      </w:pPr>
      <w:r>
        <w:t xml:space="preserve">"Bagian bawah slide adalah "</w:t>
      </w:r>
      <w:r>
        <w:rPr>
          <w:b/>
          <w:bCs/>
        </w:rPr>
        <w:t xml:space="preserve">"coverage map"</w:t>
      </w:r>
      <w:r>
        <w:t xml:space="preserve">" — visualisasi yang membuktikan tidak ada gap dalam pipeline disertasi. Ada delapan lapisan dari kiri ke kanan:"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8 LAPISAN PIPELINE EEWS — OWNER MAP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P-wave Picking (GPD) ← Paper 1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URPD (Stage 0/1) ← Paper 2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MMI Gate (Stage 1/2) ← Paper 2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Spectral Regressor (Stage 2/3) ← Paper 2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Site Calibration (Vs30 + log_dist) ← Paper 2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Validation (GMPE · Temporal · σ) ← Paper 2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Edge-Compute + HIL Bench ← Paper 3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Critical Infrastructure Multi-Trigger ← Paper 3</w:t>
            </w:r>
          </w:p>
        </w:tc>
      </w:tr>
    </w:tbl>
    <w:p>
      <w:pPr>
        <w:spacing w:after="120" w:line="320"/>
        <w:jc w:val="both"/>
      </w:pPr>
      <w:r>
        <w:t xml:space="preserve">"Pelajaran visual: pipeline disertasi ditutupi dengan distribusi yang "</w:t>
      </w:r>
      <w:r>
        <w:rPr>
          <w:b/>
          <w:bCs/>
        </w:rPr>
        <w:t xml:space="preserve">"seimbang antara metodologi inti dan output engineering"</w:t>
      </w:r>
      <w:r>
        <w:t xml:space="preserve">". Enam lapisan tengah (URPD hingga Validation) adalah Paper 2 — wajar karena ini flagship 80%. Dua lapisan akhir (Edge-Compute &amp; Multi-Trigger) adalah Paper 3 — closing the loop dari ML ke physical actuator."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7 — Roadmap Timeline 2024-2027  (60 detik)</w:t>
      </w:r>
    </w:p>
    <w:p>
      <w:pPr>
        <w:spacing w:after="120" w:line="320"/>
        <w:jc w:val="both"/>
      </w:pPr>
      <w:r>
        <w:t xml:space="preserve">"Sekarang mari saya jelaskan timeline akademik untuk meyakinkan Bapak/Ibu bahwa rencana ini "</w:t>
      </w:r>
      <w:r>
        <w:rPr>
          <w:b/>
          <w:bCs/>
        </w:rPr>
        <w:t xml:space="preserve">"realistis dan bukan optimisme tanpa dasar"</w:t>
      </w:r>
      <w:r>
        <w:t xml:space="preserve">":"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6A085" w:sz="6"/>
              <w:left w:val="single" w:color="16A085" w:sz="18"/>
              <w:bottom w:val="single" w:color="16A085" w:sz="6"/>
              <w:right w:val="single" w:color="16A085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6A085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6A085"/>
                <w:sz w:val="18"/>
                <w:szCs w:val="18"/>
              </w:rPr>
              <w:t xml:space="preserve">TIMELINE 3-PAPER STRATEGY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Q4 2023 - Q3 2024 · Eksperimen Paper 1 (GPD picking) — DONE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Q4 2024 · Submission &amp; presentation Paper 1 di BTS-I2C — DONE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Q1 2025 - Q2 2026 · Eksperimen Paper 2 (IDA-PTW full pipeline) — 80% selesai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Q3 2026 · Submission Paper 2 ke IEEE Access — IN PROGRESS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Q3 2026 - Q4 2026 · Drafting Paper 3 paralel (2-3 bulan writing)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Q4 2026 · Submission Paper 3 ke IJECE/TELKOMNIKA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Q4 2026 - Q1 2027 · Review process Paper 2 + Paper 3 paralel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Q1 2027 · SIDANG DOKTORAL · Defense target</w:t>
            </w:r>
          </w:p>
        </w:tc>
      </w:tr>
    </w:tbl>
    <w:p>
      <w:pPr>
        <w:spacing w:after="120" w:line="320"/>
        <w:jc w:val="both"/>
      </w:pPr>
      <w:r>
        <w:t xml:space="preserve">"Critical path untuk sidang 2027 Q1 adalah Paper 2 acceptance. Paper 3 lebih fleksibel — jika Q3 fast-track menerima dalam 2-3 bulan, kita aman; jika ada delay, Paper 3 bisa di-resubmit ke jurnal Q3 alternatif tanpa mengganggu defense."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8 — Argumen Feasibility — Mengapa Roadmap Ini Realistis  (75 detik)</w:t>
      </w:r>
    </w:p>
    <w:p>
      <w:pPr>
        <w:spacing w:after="120" w:line="320"/>
        <w:jc w:val="both"/>
      </w:pPr>
      <w:r>
        <w:t xml:space="preserve">"Untuk monev, saya perlu meyakinkan Bapak/Ibu dengan "</w:t>
      </w:r>
      <w:r>
        <w:rPr>
          <w:b/>
          <w:bCs/>
        </w:rPr>
        <w:t xml:space="preserve">"lima argumen feasibility"</w:t>
      </w:r>
      ""feasible track""
      <w:r>
        <w:t xml:space="preserve">" di kanan atas slide:"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LIMA ARGUMEN FEASIBILITY UNTUK MONEV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Paper 1 sudah DONE &amp; ter-indeks — bukti track record publikasi.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Paper 2 sudah 80% selesai eksperimen + manuscript — risk publikasi rendah.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Paper 3 reuse model Paper 2 — tanpa training ML baru, scope hanya integration.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(4) Paper 3 hardware murah &amp; accessible (Pi/Jetson) — pengadaan tidak hambatan.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(5) Paper 3 target Q3 fast-track — review window pendek, paralel dengan Paper 2.</w:t>
            </w:r>
          </w:p>
        </w:tc>
      </w:tr>
    </w:tbl>
    <w:p>
      <w:pPr>
        <w:spacing w:after="120" w:line="320"/>
        <w:jc w:val="both"/>
      </w:pPr>
      <w:r>
        <w:t xml:space="preserve">"Selain itu, ada "</w:t>
      </w:r>
      <w:r>
        <w:rPr>
          <w:b/>
          <w:bCs/>
        </w:rPr>
        <w:t xml:space="preserve">"buffer waktu 6-9 bulan"</w:t>
      </w:r>
      <w:r>
        <w:t xml:space="preserve">" antara submission terakhir (Q4 2026) dengan target sidang (Q1 2027) — ruang aman untuk handle revisi mayor jika terjadi. Ini bukan rencana yang ditarik kencang, ini rencana dengan margin yang konservatif."</w:t>
      </w:r>
    </w:p>
    <w:p>
      <w:r>
        <w:br w:type="pag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9 — Kontingensi — Plan B &amp; Risk Mitigation  (60 detik)</w:t>
      </w:r>
    </w:p>
    <w:p>
      <w:pPr>
        <w:spacing w:after="120" w:line="320"/>
        <w:jc w:val="both"/>
      </w:pPr>
      <w:r>
        <w:t xml:space="preserve">"Saya sadar bahwa monev tidak hanya menilai best-case scenario, tetapi juga "</w:t>
      </w:r>
      <w:r>
        <w:rPr>
          <w:b/>
          <w:bCs/>
        </w:rPr>
        <w:t xml:space="preserve">"kemampuan kandidat menangani risiko"</w:t>
      </w:r>
      <w:r>
        <w:t xml:space="preserve">". Berikut rencana kontingensi untuk dua skenario worst-case:"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C0392B" w:sz="6"/>
              <w:left w:val="single" w:color="C0392B" w:sz="18"/>
              <w:bottom w:val="single" w:color="C0392B" w:sz="6"/>
              <w:right w:val="single" w:color="C0392B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C0392B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RISK MITIGATION — SKENARIO BERMASALAH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RISIKO 1 — Paper 2 rejected oleh IEEE Access. Plan B: resubmit ke IEEE Trans. Geoscience &amp; Remote Sensing (Q1) atau IEEE Sensors Journal (Q1) atau Bulletin of Earthquake Engineering (Q1). Manuscript IDA-PTW sudah cukup matang untuk venue Q1 alternatif.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RISIKO 2 — Paper 3 stuck di review Q3. Plan B: switch ke conference Scopus-indexed (ICACSIS, IES, ICAICTA) yang turn-around 1-2 bulan. Atau publish ke jurnal nasional terakreditasi Sinta-1 untuk klaim publikasi tepat waktu.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RISIKO 3 — Hardware procurement delay. Plan B: simulasi software-only (Python emulator GPIO) untuk demonstrasi konsep — tetap publishable sebagai 'simulation study', meski kurang strong dari hardware-real.</w:t>
            </w:r>
          </w:p>
        </w:tc>
      </w:tr>
    </w:tbl>
    <w:p>
      <w:pPr>
        <w:spacing w:after="120" w:line="320"/>
        <w:jc w:val="both"/>
      </w:pPr>
      <w:r>
        <w:t xml:space="preserve">"Setiap risiko punya jalan keluar yang clear. Tidak ada single point of failure yang bisa menggagalkan timeline 2027 Q1."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Segmen 10 — Penutup Strategis  (45 detik)</w:t>
      </w:r>
    </w:p>
    <w:p>
      <w:pPr>
        <w:spacing w:after="120" w:line="320"/>
        <w:jc w:val="both"/>
      </w:pPr>
      <w:r>
        <w:t xml:space="preserve">"Bapak/Ibu Promotor dan Penguji yang saya hormati, slide roadmap ini adalah "</w:t>
      </w:r>
      <w:r>
        <w:rPr>
          <w:b/>
          <w:bCs/>
        </w:rPr>
        <w:t xml:space="preserve">"kontrak akademik tertulis"</w:t>
      </w:r>
      <w:r>
        <w:t xml:space="preserve">" dari saya: tiga paper, tiga lapisan pipeline, satu disertasi yang complete by design. Saya pilih untuk transparan tentang Paper 3 sebagai Q3 Scopus bukan Q1, karena ini "</w:t>
      </w:r>
      <w:r>
        <w:rPr>
          <w:i/>
          <w:iCs/>
        </w:rPr>
        <w:t xml:space="preserve">"realistis untuk timeline sidang 2027 Q1"</w:t>
      </w:r>
      <w:r>
        <w:t xml:space="preserve">", bukan karena saya kurang ambisius."</w:t>
      </w:r>
    </w:p>
    <w:p>
      <w:pPr>
        <w:spacing w:after="120" w:line="320"/>
        <w:jc w:val="both"/>
      </w:pPr>
      <w:r>
        <w:t xml:space="preserve">"Justru saya percaya: "</w:t>
      </w:r>
      <w:r>
        <w:rPr>
          <w:b/>
          <w:bCs/>
        </w:rPr>
        <w:t xml:space="preserve">"disertasi yang baik adalah disertasi yang lulus tepat waktu dengan kontribusi yang verified"</w:t>
      </w:r>
      <w:r>
        <w:t xml:space="preserve">", bukan disertasi yang mengejar Q1 di seluruh paper namun molor 2 tahun. Strategi 10% + 80% + 10% saya susun untuk efisiensi maksimal — bobot besar di Paper 2 yang flagship Q1, bobot kecil di Paper 1 dan 3 yang tetap ter-indeks Scopus."</w:t>
      </w:r>
    </w:p>
    <w:p>
      <w:pPr>
        <w:spacing w:after="120" w:line="320"/>
        <w:jc w:val="both"/>
      </w:pPr>
      <w:r>
        <w:t xml:space="preserve">"Mohon arahan dan masukan dari Bapak/Ibu untuk menyempurnakan rencana ini. Terima kasih."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Anticipated Q&amp;A — 8 Pertanyaan Tersering Promotor / Asesor Monev</w:t>
      </w:r>
    </w:p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1F3A93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Pertanyaan Promotor / Asesor</w:t>
            </w:r>
          </w:p>
        </w:tc>
        <w:tc>
          <w:tcPr>
            <w:tcW w:type="pct" w:w="50%"/>
            <w:shd w:fill="1F3A93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Jawaban Singkat</w:t>
            </w:r>
          </w:p>
        </w:tc>
      </w:tr>
      <w:tr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Mengapa Paper 3 hanya Q3 dan bukan Q1?</w:t>
            </w:r>
          </w:p>
        </w:tc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Karena bobotnya hanya 10% dari disertasi total, Q3 Scopus sudah cukup memuaskan secara akademik. Pilihan ini meningkatkan probabilitas acceptance pada timeline pendek (3-4 bulan), critical untuk sidang 2027 Q1. Q1 untuk paper komplemen bobot 10% akan over-engineering yang berisiko delay sidang.</w:t>
            </w:r>
          </w:p>
        </w:tc>
      </w:tr>
      <w:tr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Apakah Paper 3 sudah punya prototype hardware?</w:t>
            </w:r>
          </w:p>
        </w:tc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Belum di-build. Hardware procurement (Raspberry Pi 5, sensor MEMS accelerometer, relay module) estimasi 4-6 minggu, tersedia di pasar ritel Indonesia. Tidak ada custom hardware atau pengadaan kompleks. Rancangan sirkuit GPIO sudah saya draft di lab.</w:t>
            </w:r>
          </w:p>
        </w:tc>
      </w:tr>
      <w:tr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Bagaimana jika Paper 2 tertolak di IEEE Access?</w:t>
            </w:r>
          </w:p>
        </w:tc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Ada empat venue alternatif Q1 yang sudah saya petakan: IEEE Trans. Geoscience &amp; Remote Sensing, IEEE Sensors Journal, Bulletin of Earthquake Engineering, Pure and Applied Geophysics. Manuscript IDA-PTW sudah memiliki kualitas Q1 — venue alternatif tidak akan mempengaruhi kebaruan.</w:t>
            </w:r>
          </w:p>
        </w:tc>
      </w:tr>
      <w:tr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Apakah Paper 3 cukup novel untuk publishable?</w:t>
            </w:r>
          </w:p>
        </w:tc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Ya. Kebaruannya bukan ML algorithm (yang sudah Paper 2), tetapi integration of ML output → physical actuator dengan latency budget terkarakterisasi. Ini disertasi Fisika Instrumentasi — disiplin yang fokusnya bukan pada novelty algoritmik tetapi pada novelty implementasi sistem fisik.</w:t>
            </w:r>
          </w:p>
        </w:tc>
      </w:tr>
      <w:tr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Mengapa skenario demo dipilih hospital, gas pipeline, MRT?</w:t>
            </w:r>
          </w:p>
        </w:tc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Tiga alasan: (1) ketiganya merepresentasikan periode struktur berbeda (T = 0,3 s elevator, T = 1 s gas valve, T = 2 s train brake) — sehingga mendemonstrasikan keunggulan IDA-PTW yang menghasilkan Sa(T) untuk multiple periods; (2) ketiganya relevan dengan Indonesia (RS Cipto, jaringan Pertamina, KAI HSR Jakarta-Bandung); (3) ketiganya bisa di-mock di lab dengan budget terbatas.</w:t>
            </w:r>
          </w:p>
        </w:tc>
      </w:tr>
      <w:tr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Apa kontingensi jika monev menyarankan re-scoping?</w:t>
            </w:r>
          </w:p>
        </w:tc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Dengan senang hati. Saya bisa pivot Paper 3 ke: (a) Conference paper Scopus saja jika monev menilai Q3 jurnal terlalu lama, atau (b) pure simulation study tanpa hardware jika monev menilai HIL terlalu ambisius. Tetapi Bapak/Ibu, saya percaya scope saat ini sudah balanced antara feasibility dan kontribusi akademik.</w:t>
            </w:r>
          </w:p>
        </w:tc>
      </w:tr>
      <w:tr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Mengapa tidak menambah Paper 4 untuk extra safety margin?</w:t>
            </w:r>
          </w:p>
        </w:tc>
        <w:tc>
          <w:tcPr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Setiap paper menambah 4-6 bulan timeline. Paper 4 berarti sidang molor ke 2027 Q3 atau 2028. Saya pilih konservatif dalam jumlah paper, ambisius dalam quality Paper 2 sebagai flagship. Strategi ini lebih efisien dibanding mengencerkan effort ke 4 paper.</w:t>
            </w:r>
          </w:p>
        </w:tc>
      </w:tr>
      <w:tr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b/>
                <w:bCs/>
                <w:color w:val="212933"/>
                <w:sz w:val="20"/>
                <w:szCs w:val="20"/>
              </w:rPr>
              <w:t xml:space="preserve">Apakah BMKG sudah commit untuk co-authorship Paper 3?</w:t>
            </w:r>
          </w:p>
        </w:tc>
        <w:tc>
          <w:tcPr>
            <w:shd w:fill="F8F9F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80"/>
              <w:jc w:val="both"/>
            </w:pPr>
            <w:r>
              <w:rPr>
                <w:color w:val="212933"/>
                <w:sz w:val="20"/>
                <w:szCs w:val="20"/>
              </w:rPr>
              <w:t xml:space="preserve">Ya. Pak Sigit Pramono (BMKG) dan Pak Dede Djuhana (Promotor + BMKG) sudah co-author di Paper 1 dan Paper 2. Diskusi awal untuk Paper 3 sudah berjalan — BMKG punya interest pada InaTEWS upgrade strategy, Paper 3 fits perfectly.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566573" w:sz="6"/>
              <w:left w:val="single" w:color="566573" w:sz="18"/>
              <w:bottom w:val="single" w:color="566573" w:sz="6"/>
              <w:right w:val="single" w:color="56657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56657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566573"/>
                <w:sz w:val="18"/>
                <w:szCs w:val="18"/>
              </w:rPr>
              <w:t xml:space="preserve">PESAN PENUTUP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Roadmap ini bukan rencana yang dilukis kemarin — ini hasil refleksi setelah Paper 1 published, eksperimen Paper 2 selesai, dan diskusi dengan Promotor. Setiap angka di slide (10% / 80% / 10%, timeline 2024-2027, target jurnal) sudah dipertimbangkan dari sudut pandang akademik dan operasional. Saya siap menjawab pertanyaan apapun yang Bapak/Ibu ajukan.</w:t>
            </w:r>
          </w:p>
        </w:tc>
      </w:tr>
    </w:tbl>
    <w:p>
      <w:pPr>
        <w:spacing w:before="360"/>
        <w:jc w:val="center"/>
      </w:pPr>
      <w:r>
        <w:rPr>
          <w:i/>
          <w:iCs/>
          <w:color w:val="566573"/>
          <w:sz w:val="18"/>
          <w:szCs w:val="18"/>
        </w:rPr>
        <w:t xml:space="preserve">Hanif A. Nugraha · FMIPA UI · BMKG · 2026</w:t>
      </w:r>
    </w:p>
    <w:sectPr>
      <w:pgSz w:w="12240" w:h="15840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Narasi Roadmap Disertasi</dc:title>
  <dc:creator>Hanif Andi Nugraha</dc:creator>
  <dc:description>Naskah deep-dive untuk slide Roadmap Disertasi 3-Paper Strategy</dc:description>
  <cp:lastModifiedBy>Un-named</cp:lastModifiedBy>
  <cp:revision>1</cp:revision>
  <dcterms:created xsi:type="dcterms:W3CDTF">2026-05-06T01:29:33.580Z</dcterms:created>
  <dcterms:modified xsi:type="dcterms:W3CDTF">2026-05-06T01:29:33.581Z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