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left"/>
      </w:pPr>
      <w:r>
        <w:rPr>
          <w:b/>
          <w:bCs/>
          <w:color w:val="1F3A93"/>
          <w:sz w:val="16"/>
          <w:szCs w:val="16"/>
        </w:rPr>
        <w:t xml:space="preserve">IDA-PTW EEWS</w:t>
      </w:r>
      <w:r>
        <w:rPr>
          <w:color w:val="566573"/>
          <w:sz w:val="16"/>
          <w:szCs w:val="16"/>
        </w:rPr>
        <w:t xml:space="preserve">  •  Penjelasan Framework Al Atik 2010</w:t>
      </w:r>
    </w:p>
    <w:p>
      <w:pPr>
        <w:spacing w:after="60" w:before="120"/>
        <w:jc w:val="center"/>
      </w:pPr>
      <w:r>
        <w:rPr>
          <w:b/>
          <w:bCs/>
          <w:color w:val="000000"/>
          <w:sz w:val="36"/>
          <w:szCs w:val="36"/>
        </w:rPr>
        <w:t xml:space="preserve">FRAMEWORK AL ATIK 2010</w:t>
      </w:r>
    </w:p>
    <w:p>
      <w:pPr>
        <w:spacing w:after="200"/>
        <w:jc w:val="center"/>
      </w:pPr>
      <w:r>
        <w:rPr>
          <w:b/>
          <w:bCs/>
          <w:color w:val="1F3A93"/>
          <w:sz w:val="24"/>
          <w:szCs w:val="24"/>
        </w:rPr>
        <w:t xml:space="preserve">Mixed-Effects Sigma Decomposition  ·  σ²_total = τ² + φ²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Standar baku untuk dekomposisi variabilitas Ground-Motion Prediction Equations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Hanif Andi Nugraha · Departemen Fisika FMIPA UI · BMKG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Aplikasi pada validasi temporal holdout IDA-PTW</w:t>
      </w:r>
    </w:p>
    <w:p>
      <w:pPr>
        <w:spacing w:before="240"/>
        <w:jc w:val="center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RINGKASAN UTAMA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Al Atik et al. (2010) menetapkan standardisasi notasi untuk dekomposisi σ²_total dalam GMPE.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Inti: σ²_total dipecah menjadi τ² (inter-event) dan φ² (intra-event) yang ortogonal.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τ² = variabilitas antar-event (rupture asperity, source mechanism) — risiko overfitting ML.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φ² = variabilitas intra-event (path attenuation, site response) — physics-bound.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Aplikasi pada IDA-PTW: jika temporal holdout ΔR² &lt;&lt; τ²/σ², model TIDAK overfit.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1. Latar Belakang — Mengapa Standardisasi Diperlukan</w:t>
      </w:r>
    </w:p>
    <w:p>
      <w:pPr>
        <w:spacing w:after="120" w:line="320"/>
        <w:jc w:val="both"/>
      </w:pPr>
      <w:r>
        <w:t xml:space="preserve">Sebelum tahun 2010, komunitas teknik gempa menggunakan terminologi tidak konsisten untuk dekomposisi variabilitas GMPE. Beberapa peneliti menyebut komponen 'inter-event' sebagai σ_e atau σ_M, sementara komponen 'intra-event' disebut σ_intra, σ_path, atau σ_W. Inkonsistensi ini menyulitkan komparasi antar-paper dan implementasi PSHA (Probabilistic Seismic Hazard Analysis) yang kritis untuk penentuan Sa(T) bangunan.</w:t>
      </w:r>
    </w:p>
    <w:p>
      <w:pPr>
        <w:spacing w:after="120" w:line="320"/>
        <w:jc w:val="both"/>
      </w:pPr>
      <w:r>
        <w:t xml:space="preserve">Linda Al Atik dan rekan-rekan dari University of California Berkeley (Norm Abrahamson) dan Imperial College London (Julian Bommer, Frank Scherbaum, Fabrice Cotton, Nico Kuehn) menerbitkan paper landmark di </w:t>
      </w:r>
      <w:r>
        <w:rPr>
          <w:i/>
          <w:iCs/>
        </w:rPr>
        <w:t xml:space="preserve">Seismological Research Letters</w:t>
      </w:r>
      <w:r>
        <w:t xml:space="preserve"> tahun 2010 dengan judul </w:t>
      </w:r>
      <w:r>
        <w:rPr>
          <w:i/>
          <w:iCs/>
        </w:rPr>
        <w:t xml:space="preserve">'The variability of ground-motion prediction equations and its components'</w:t>
      </w:r>
      <w:r>
        <w:t xml:space="preserve">. Paper ini memberikan tiga kontribusi utama: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TIGA KONTRIBUSI AL ATIK 2010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1. STANDARDISASI NOTASI — Notasi resmi: τ (tau) untuk inter-event, φ (phi) untuk intra-event.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2. FORMULASI MIXED-EFFECTS REGRESI — Pemisahan random effects (events) dari fixed effects (parameter).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3. DEKOMPOSISI HIERARKIS — τ dan φ dapat dipecah lebih lanjut menjadi komponen aleatorik vs epistemik, path vs site.</w:t>
            </w:r>
          </w:p>
        </w:tc>
      </w:tr>
    </w:tbl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 Persamaan Inti — Mixed-Effects Decomposition</w:t>
      </w:r>
    </w:p>
    <w:p>
      <w:pPr>
        <w:spacing w:after="80" w:before="120"/>
        <w:jc w:val="center"/>
      </w:pPr>
      <w:r>
        <w:drawing>
          <wp:inline distT="0" distB="0" distL="0" distR="0">
            <wp:extent cx="6286500" cy="1905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320"/>
        <w:jc w:val="both"/>
      </w:pPr>
      <w:r>
        <w:t xml:space="preserve">Model dasar Al Atik 2010 untuk record gempa </w:t>
      </w:r>
      <w:r>
        <w:rPr>
          <w:i/>
          <w:iCs/>
        </w:rPr>
        <w:t xml:space="preserve">e</w:t>
      </w:r>
      <w:r>
        <w:t xml:space="preserve"> yang tertangkap di stasiun </w:t>
      </w:r>
      <w:r>
        <w:rPr>
          <w:i/>
          <w:iCs/>
        </w:rPr>
        <w:t xml:space="preserve">s</w:t>
      </w:r>
      <w:r>
        <w:t xml:space="preserve">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ln Y_(e,s) = μ_(e,s)(M, R, Vs30, ...) + δB_e + δW_(e,s)</w:t>
      </w:r>
    </w:p>
    <w:p>
      <w:pPr>
        <w:spacing w:after="120" w:line="320"/>
        <w:jc w:val="both"/>
      </w:pPr>
      <w:r>
        <w:t xml:space="preserve">dengan komponen sebagai berikut: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2.1 Median Term μ</w:t>
      </w:r>
    </w:p>
    <w:p>
      <w:pPr>
        <w:spacing w:after="120" w:line="320"/>
        <w:jc w:val="both"/>
      </w:pPr>
      <w:r>
        <w:t xml:space="preserve">μ_(e,s) adalah </w:t>
      </w:r>
      <w:r>
        <w:rPr>
          <w:b/>
          <w:bCs/>
        </w:rPr>
        <w:t xml:space="preserve">median ground motion</w:t>
      </w:r>
      <w:r>
        <w:t xml:space="preserve"> yang diprediksi oleh persamaan GMPE deterministik dari parameter sumber (M = magnitudo), jarak (R = jarak hypocentral atau Joyner-Boore), dan kondisi tanah (Vs30, basin depth Z1.0). Ini adalah komponen 'fixed effect' yang dapat di-fit dengan least-squares regression.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2.2 Inter-Event Term δB_e (random effect per gempa)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δB_e ~ N(0, τ²)</w:t>
      </w:r>
    </w:p>
    <w:p>
      <w:pPr>
        <w:spacing w:after="120" w:line="320"/>
        <w:jc w:val="both"/>
      </w:pPr>
      <w:r>
        <w:t xml:space="preserve">δB_e adalah </w:t>
      </w:r>
      <w:r>
        <w:rPr>
          <w:b/>
          <w:bCs/>
        </w:rPr>
        <w:t xml:space="preserve">residual sistematis untuk seluruh record dari gempa ke-e</w:t>
      </w:r>
      <w:r>
        <w:t xml:space="preserve">. Artinya: SEMUA stasiun yang merekam gempa Cianjur 2022 memiliki residual yang ter-shift dengan jumlah yang sama (δB_Cianjur). Hal ini menangkap karakteristik unik gempa tersebut yang tidak dijelaskan oleh M, R, Vs30:</w:t>
      </w:r>
    </w:p>
    <w:p>
      <w:pPr>
        <w:spacing w:after="120" w:line="320"/>
        <w:jc w:val="both"/>
      </w:pPr>
      <w:r>
        <w:t xml:space="preserve">• rupture directivity (apakah rupture menjalar ke arah stasiun?)</w:t>
      </w:r>
    </w:p>
    <w:p>
      <w:pPr>
        <w:spacing w:after="120" w:line="320"/>
        <w:jc w:val="both"/>
      </w:pPr>
      <w:r>
        <w:t xml:space="preserve">• stress drop (seberapa keras rupture-nya — high-stress vs low-stress event)</w:t>
      </w:r>
    </w:p>
    <w:p>
      <w:pPr>
        <w:spacing w:after="120" w:line="320"/>
        <w:jc w:val="both"/>
      </w:pPr>
      <w:r>
        <w:t xml:space="preserve">• fault geometry detail (asperity location, slip distribution)</w:t>
      </w:r>
    </w:p>
    <w:p>
      <w:pPr>
        <w:spacing w:after="120" w:line="320"/>
        <w:jc w:val="both"/>
      </w:pPr>
      <w:r>
        <w:t xml:space="preserve">• focal mechanism nuance (strike-slip vs reverse vs normal di luar yang ditangkap GMPE)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2.3 Intra-Event Term δW_(e,s) (within-event residual)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δW_(e,s) ~ N(0, φ²)</w:t>
      </w:r>
    </w:p>
    <w:p>
      <w:pPr>
        <w:spacing w:after="120" w:line="320"/>
        <w:jc w:val="both"/>
      </w:pPr>
      <w:r>
        <w:t xml:space="preserve">δW_(e,s) adalah </w:t>
      </w:r>
      <w:r>
        <w:rPr>
          <w:b/>
          <w:bCs/>
        </w:rPr>
        <w:t xml:space="preserve">residual stasiun-spesifik dalam satu event yang sama</w:t>
      </w:r>
      <w:r>
        <w:t xml:space="preserve">. Setelah δB_e di-substract, perbedaan antar-stasiun direpresentasikan oleh δW. Ini menangkap:</w:t>
      </w:r>
    </w:p>
    <w:p>
      <w:pPr>
        <w:spacing w:after="120" w:line="320"/>
        <w:jc w:val="both"/>
      </w:pPr>
      <w:r>
        <w:t xml:space="preserve">• geometric spreading detail (variabilitas path antar-stasiun)</w:t>
      </w:r>
    </w:p>
    <w:p>
      <w:pPr>
        <w:spacing w:after="120" w:line="320"/>
        <w:jc w:val="both"/>
      </w:pPr>
      <w:r>
        <w:t xml:space="preserve">• anelastic attenuation Q-faktor lokal</w:t>
      </w:r>
    </w:p>
    <w:p>
      <w:pPr>
        <w:spacing w:after="120" w:line="320"/>
        <w:jc w:val="both"/>
      </w:pPr>
      <w:r>
        <w:t xml:space="preserve">• site amplification yang tidak ditangkap Vs30 (basin resonance, topographic amplification)</w:t>
      </w:r>
    </w:p>
    <w:p>
      <w:pPr>
        <w:spacing w:after="120" w:line="320"/>
        <w:jc w:val="both"/>
      </w:pPr>
      <w:r>
        <w:t xml:space="preserve">• instrument noise dan kalibrasi sensor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2.4 Variance Total — Persamaan Pythagoras</w:t>
      </w:r>
    </w:p>
    <w:p>
      <w:pPr>
        <w:spacing w:after="120" w:line="320"/>
        <w:jc w:val="both"/>
      </w:pPr>
      <w:r>
        <w:t xml:space="preserve">Karena δB dan δW </w:t>
      </w:r>
      <w:r>
        <w:rPr>
          <w:b/>
          <w:bCs/>
          <w:i/>
          <w:iCs/>
        </w:rPr>
        <w:t xml:space="preserve">orthogonal</w:t>
      </w:r>
      <w:r>
        <w:t xml:space="preserve"> (statistically independent — diasumsi tidak berkorelasi), variansnya dijumlahkan: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σ²_total = τ² + φ²</w:t>
      </w:r>
    </w:p>
    <w:p>
      <w:pPr>
        <w:spacing w:after="120" w:line="320"/>
        <w:jc w:val="both"/>
      </w:pPr>
      <w:r>
        <w:t xml:space="preserve">Persamaan ini adalah </w:t>
      </w:r>
      <w:r>
        <w:rPr>
          <w:i/>
          <w:iCs/>
        </w:rPr>
        <w:t xml:space="preserve">aturan Pythagoras dalam ruang variansi</w:t>
      </w:r>
      <w:r>
        <w:t xml:space="preserve"> — analog dengan teorema Pythagoras klasik untuk vektor ortogonal.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 Hierarchy Decomposition</w:t>
      </w:r>
    </w:p>
    <w:p>
      <w:pPr>
        <w:spacing w:after="80" w:before="120"/>
        <w:jc w:val="center"/>
      </w:pPr>
      <w:r>
        <w:drawing>
          <wp:inline distT="0" distB="0" distL="0" distR="0">
            <wp:extent cx="6286500" cy="3143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320"/>
        <w:jc w:val="both"/>
      </w:pPr>
      <w:r>
        <w:t xml:space="preserve">Diagram di atas menunjukkan struktur hierarki Al Atik 2010. σ²_total dipecah menjadi τ² dan φ², kemudian masing-masing dapat dipecah lebih lanjut: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3.1 Sub-dekomposisi τ²</w:t>
      </w:r>
    </w:p>
    <w:p>
      <w:pPr>
        <w:spacing w:after="120" w:line="320"/>
        <w:jc w:val="both"/>
      </w:pPr>
      <w:r>
        <w:t xml:space="preserve">τ² (inter-event) dapat dibagi menjadi:</w:t>
      </w:r>
    </w:p>
    <w:p>
      <w:pPr>
        <w:spacing w:after="120" w:line="320"/>
        <w:jc w:val="both"/>
      </w:pPr>
      <w:r>
        <w:t xml:space="preserve">• </w:t>
      </w:r>
      <w:r>
        <w:rPr>
          <w:rFonts w:ascii="Cambria Math" w:cs="Cambria Math" w:eastAsia="Cambria Math" w:hAnsi="Cambria Math"/>
          <w:b/>
          <w:bCs/>
        </w:rPr>
        <w:t xml:space="preserve">τ²_aleatory</w:t>
      </w:r>
      <w:r>
        <w:t xml:space="preserve"> — variabilitas inheren rupture process (irreducible)</w:t>
      </w:r>
    </w:p>
    <w:p>
      <w:pPr>
        <w:spacing w:after="120" w:line="320"/>
        <w:jc w:val="both"/>
      </w:pPr>
      <w:r>
        <w:t xml:space="preserve">• </w:t>
      </w:r>
      <w:r>
        <w:rPr>
          <w:rFonts w:ascii="Cambria Math" w:cs="Cambria Math" w:eastAsia="Cambria Math" w:hAnsi="Cambria Math"/>
          <w:b/>
          <w:bCs/>
        </w:rPr>
        <w:t xml:space="preserve">τ²_epistemic</w:t>
      </w:r>
      <w:r>
        <w:t xml:space="preserve"> — uncertainty model magnitudo (reducible dengan data lebih banyak)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3.2 Sub-dekomposisi φ²</w:t>
      </w:r>
    </w:p>
    <w:p>
      <w:pPr>
        <w:spacing w:after="120" w:line="320"/>
        <w:jc w:val="both"/>
      </w:pPr>
      <w:r>
        <w:t xml:space="preserve">φ² (intra-event) dapat dibagi menjadi:</w:t>
      </w:r>
    </w:p>
    <w:p>
      <w:pPr>
        <w:spacing w:after="120" w:line="320"/>
        <w:jc w:val="both"/>
      </w:pPr>
      <w:r>
        <w:t xml:space="preserve">• </w:t>
      </w:r>
      <w:r>
        <w:rPr>
          <w:rFonts w:ascii="Cambria Math" w:cs="Cambria Math" w:eastAsia="Cambria Math" w:hAnsi="Cambria Math"/>
          <w:b/>
          <w:bCs/>
        </w:rPr>
        <w:t xml:space="preserve">φ²_path</w:t>
      </w:r>
      <w:r>
        <w:t xml:space="preserve"> — geometric spreading + anelastic attenuation</w:t>
      </w:r>
    </w:p>
    <w:p>
      <w:pPr>
        <w:spacing w:after="120" w:line="320"/>
        <w:jc w:val="both"/>
      </w:pPr>
      <w:r>
        <w:t xml:space="preserve">• </w:t>
      </w:r>
      <w:r>
        <w:rPr>
          <w:rFonts w:ascii="Cambria Math" w:cs="Cambria Math" w:eastAsia="Cambria Math" w:hAnsi="Cambria Math"/>
          <w:b/>
          <w:bCs/>
        </w:rPr>
        <w:t xml:space="preserve">φ²_site</w:t>
      </w:r>
      <w:r>
        <w:t xml:space="preserve"> — Vs30 residual, basin amplification, topographic effects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3.3 Single-Station Sigma (φ_SS)</w:t>
      </w:r>
    </w:p>
    <w:p>
      <w:pPr>
        <w:spacing w:after="120" w:line="320"/>
        <w:jc w:val="both"/>
      </w:pPr>
      <w:r>
        <w:t xml:space="preserve">Konsep penting yang berkembang dari framework Al Atik adalah </w:t>
      </w:r>
      <w:r>
        <w:rPr>
          <w:b/>
          <w:bCs/>
          <w:i/>
          <w:iCs/>
        </w:rPr>
        <w:t xml:space="preserve">single-station sigma</w:t>
      </w:r>
      <w:r>
        <w:t xml:space="preserve"> (Atkinson 2006, Rodriguez-Marek et al. 2014):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φ²_SS = φ² − φ²_S2S</w:t>
      </w:r>
    </w:p>
    <w:p>
      <w:pPr>
        <w:spacing w:after="120" w:line="320"/>
        <w:jc w:val="both"/>
      </w:pPr>
      <w:r>
        <w:t xml:space="preserve">dengan φ_S2S = site-to-site variability. Single-station sigma membuang variabilitas antar-stasiun yang redundant, mengurangi hazard estimasi 10-30% — penting untuk PSHA fasilitas vital seperti pembangkit nuklir.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 Aplikasi pada IDA-PTW EEWS</w:t>
      </w:r>
    </w:p>
    <w:p>
      <w:pPr>
        <w:spacing w:after="120" w:line="320"/>
        <w:jc w:val="both"/>
      </w:pPr>
      <w:r>
        <w:t xml:space="preserve">Disertasi IDA-PTW Bapak menerapkan framework Al Atik 2010 secara eksplisit melalui perhitungan </w:t>
      </w:r>
      <w:r>
        <w:rPr>
          <w:rFonts w:ascii="Cascadia Code" w:cs="Cascadia Code" w:eastAsia="Cascadia Code" w:hAnsi="Cascadia Code"/>
        </w:rPr>
        <w:t xml:space="preserve">sigma_decomposition.csv</w:t>
      </w:r>
      <w:r>
        <w:t xml:space="preserve"> yang merekam τ, φ, σ_total untuk seluruh 103 periode struktur. Hasil utama:</w:t>
      </w:r>
    </w:p>
    <w:p>
      <w:pPr>
        <w:spacing w:after="80" w:before="120"/>
        <w:jc w:val="center"/>
      </w:pPr>
      <w:r>
        <w:drawing>
          <wp:inline distT="0" distB="0" distL="0" distR="0">
            <wp:extent cx="6286500" cy="2381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320"/>
        <w:jc w:val="both"/>
      </w:pPr>
      <w:r>
        <w:t xml:space="preserve">Panel kiri menampilkan komponen σ_total, τ, φ sebagai fungsi periode T. Pelajaran kunci: φ (intra-event, oranye) </w:t>
      </w:r>
      <w:r>
        <w:rPr>
          <w:b/>
          <w:bCs/>
        </w:rPr>
        <w:t xml:space="preserve">selalu lebih besar dari τ</w:t>
      </w:r>
      <w:r>
        <w:t xml:space="preserve"> (inter-event, teal) di seluruh periode — variabilitas path/site lebih dominan dibanding variabilitas event.</w:t>
      </w:r>
    </w:p>
    <w:p>
      <w:pPr>
        <w:spacing w:after="120" w:line="320"/>
        <w:jc w:val="both"/>
      </w:pPr>
      <w:r>
        <w:t xml:space="preserve">Panel kanan menampilkan rasio τ²/σ²_total (%) — yaitu </w:t>
      </w:r>
      <w:r>
        <w:rPr>
          <w:b/>
          <w:bCs/>
        </w:rPr>
        <w:t xml:space="preserve">porsi variansi yang berasal dari karakteristik event-spesifik</w:t>
      </w:r>
      <w:r>
        <w:t xml:space="preserve">. Inilah angka yang relevan untuk diskusi overfitting: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4.1 Tabel Numerik Real (dari sigma_decomposition.csv)</w:t>
      </w:r>
    </w:p>
    <w:p>
      <w:pPr>
        <w:spacing w:after="120" w:line="320"/>
        <w:jc w:val="both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4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Period T</w:t>
            </w:r>
          </w:p>
        </w:tc>
        <w:tc>
          <w:tcPr>
            <w:tcW w:type="pct" w:w="18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σ_total</w:t>
            </w:r>
          </w:p>
        </w:tc>
        <w:tc>
          <w:tcPr>
            <w:tcW w:type="pct" w:w="22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τ (inter-event)</w:t>
            </w:r>
          </w:p>
        </w:tc>
        <w:tc>
          <w:tcPr>
            <w:tcW w:type="pct" w:w="22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φ (intra-event)</w:t>
            </w:r>
          </w:p>
        </w:tc>
        <w:tc>
          <w:tcPr>
            <w:tcW w:type="pct" w:w="16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τ²/σ² (%)</w:t>
            </w:r>
          </w:p>
        </w:tc>
        <w:tc>
          <w:tcPr>
            <w:tcW w:type="pct" w:w="18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Interpretasi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0,2 s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0,376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0,135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0,351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12,8%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B2631"/>
                <w:sz w:val="18"/>
                <w:szCs w:val="18"/>
              </w:rPr>
              <w:t xml:space="preserve">EEWS Critical Zone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0,3 s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0,371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0,153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0,338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17,1%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B2631"/>
                <w:sz w:val="18"/>
                <w:szCs w:val="18"/>
              </w:rPr>
              <w:t xml:space="preserve">Mid-rise (T≈0,3s)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0,5 s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0,345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0,155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0,308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20,1%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B2631"/>
                <w:sz w:val="18"/>
                <w:szCs w:val="18"/>
              </w:rPr>
              <w:t xml:space="preserve">Mid-rise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1,0 s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0,270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0,121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0,242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20,0%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B2631"/>
                <w:sz w:val="18"/>
                <w:szCs w:val="18"/>
              </w:rPr>
              <w:t xml:space="preserve">Mid-rise to high-rise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1,5 s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0,218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0,087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0,200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15,8%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B2631"/>
                <w:sz w:val="18"/>
                <w:szCs w:val="18"/>
              </w:rPr>
              <w:t xml:space="preserve">High-rise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3,0 s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0,062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0,015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i w:val="false"/>
                <w:iCs w:val="false"/>
                <w:color w:val="1B2631"/>
                <w:sz w:val="18"/>
                <w:szCs w:val="18"/>
              </w:rPr>
              <w:t xml:space="preserve">0,060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i w:val="false"/>
                <w:iCs w:val="false"/>
                <w:color w:val="C0392B"/>
                <w:sz w:val="18"/>
                <w:szCs w:val="18"/>
              </w:rPr>
              <w:t xml:space="preserve">6,0%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B2631"/>
                <w:sz w:val="18"/>
                <w:szCs w:val="18"/>
              </w:rPr>
              <w:t xml:space="preserve">Long-period (limited samples)</w:t>
            </w:r>
          </w:p>
        </w:tc>
      </w:tr>
    </w:tbl>
    <w:p>
      <w:pPr>
        <w:spacing w:after="120" w:line="320"/>
        <w:jc w:val="both"/>
      </w:pPr>
      <w:r>
        <w:t xml:space="preserve"/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4.2 Interpretasi untuk Overfitting Assessment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27AE60" w:sz="6"/>
              <w:left w:val="single" w:color="27AE60" w:sz="18"/>
              <w:bottom w:val="single" w:color="27AE60" w:sz="6"/>
              <w:right w:val="single" w:color="27AE60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27AE60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7AE60"/>
                <w:sz w:val="18"/>
                <w:szCs w:val="18"/>
              </w:rPr>
              <w:t xml:space="preserve">LOGIKA PENGUJIAN OVERFITTING VIA AL ATIK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Hipotesis null: Jika model overfit ke event-event historis, maka model akan menyerap τ² ke dalam fit-nya.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Konsekuensi: Pada temporal holdout (event 2025+ unseen), R² akan turun sebesar τ²/σ²_total karena event term tidak lagi 'predictable' dari pattern memorisasi.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Expected drop bila overfit: untuk T = 0.5-1.0 s (operational band utama EEWS), τ²/σ² ≈ 20%. Translation ke R²: ~0.10-0.15 drop.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Observed drop di IDA-PTW: &lt; 0.02 (5-10× lebih kecil dari expected).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Kesimpulan: model TIDAK menyerap τ². Ia belajar physics yang generalizable dari fitur waveform (90 fitur 4-famili), bukan menghafal pattern event historis.</w:t>
            </w:r>
          </w:p>
        </w:tc>
      </w:tr>
    </w:tbl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4.3 Mengapa Argumen Ini Kuat?</w:t>
      </w:r>
    </w:p>
    <w:p>
      <w:pPr>
        <w:spacing w:after="120" w:line="320"/>
        <w:jc w:val="both"/>
      </w:pPr>
      <w:r>
        <w:t xml:space="preserve">Logika ini </w:t>
      </w:r>
      <w:r>
        <w:rPr>
          <w:b/>
          <w:bCs/>
          <w:i/>
          <w:iCs/>
        </w:rPr>
        <w:t xml:space="preserve">tidak bisa dipalsukan</w:t>
      </w:r>
      <w:r>
        <w:t xml:space="preserve"> karena τ² adalah </w:t>
      </w:r>
      <w:r>
        <w:rPr>
          <w:i/>
          <w:iCs/>
        </w:rPr>
        <w:t xml:space="preserve">ground truth fisis</w:t>
      </w:r>
      <w:r>
        <w:t xml:space="preserve"> yang dihitung dari residual mixed-effects regression — bukan asumsi atau parameter tuning. Bila reviewer menanyakan "bagaimana Anda yakin model tidak overfit?", jawabannya adalah: </w:t>
      </w:r>
    </w:p>
    <w:p>
      <w:pPr>
        <w:spacing w:after="100" w:before="100" w:line="360"/>
        <w:jc w:val="center"/>
      </w:pPr>
      <w:r>
        <w:rPr>
          <w:rFonts w:ascii="Cambria Math" w:cs="Cambria Math" w:eastAsia="Cambria Math" w:hAnsi="Cambria Math"/>
          <w:sz w:val="24"/>
          <w:szCs w:val="24"/>
        </w:rPr>
        <w:t xml:space="preserve">Δ R²_observed = 0.02  &lt;&lt;  τ²/σ² ≈ 0.20  =  Δ R²_expected_if_overfit</w:t>
      </w:r>
    </w:p>
    <w:p>
      <w:pPr>
        <w:spacing w:after="120" w:line="320"/>
        <w:jc w:val="both"/>
      </w:pPr>
      <w:r>
        <w:t xml:space="preserve">Selisih lima kali lipat ini </w:t>
      </w:r>
      <w:r>
        <w:rPr>
          <w:b/>
          <w:bCs/>
        </w:rPr>
        <w:t xml:space="preserve">statistically dan physically defensible</w:t>
      </w:r>
      <w:r>
        <w:t xml:space="preserve"> sebagai bukti generalisasi yang baik.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 Implikasi Praktis &amp; Penggunaan Lanjutan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5.1 PSHA (Probabilistic Seismic Hazard Analysis)</w:t>
      </w:r>
    </w:p>
    <w:p>
      <w:pPr>
        <w:spacing w:after="120" w:line="320"/>
        <w:jc w:val="both"/>
      </w:pPr>
      <w:r>
        <w:t xml:space="preserve">Framework Al Atik 2010 wajib digunakan dalam PSHA modern (misal SNI 1726 standar gempa Indonesia, ASCE 7-22). Probability of exceedance dihitung dengan integral lognormal yang membutuhkan σ_total. Standar Indonesia mengasumsikan σ default ~0,55 untuk subduksi — sedikit lebih besar dari σ IDA-PTW karena kalibrasi global.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5.2 GMPE Selection Logic Tree</w:t>
      </w:r>
    </w:p>
    <w:p>
      <w:pPr>
        <w:spacing w:after="120" w:line="320"/>
        <w:jc w:val="both"/>
      </w:pPr>
      <w:r>
        <w:t xml:space="preserve">Untuk PSHA Indonesia, peneliti biasanya memilih beberapa GMPE (Atkinson-Boore 2003, Zhao et al. 2006, Abrahamson-Gulerce 2020) dan memberikan bobot. σ τ-φ decomposition memungkinkan kombinasi yang konsisten di berbagai GMPE.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5.3 Single-Station Sigma untuk Fasilitas Vital</w:t>
      </w:r>
    </w:p>
    <w:p>
      <w:pPr>
        <w:spacing w:after="120" w:line="320"/>
        <w:jc w:val="both"/>
      </w:pPr>
      <w:r>
        <w:t xml:space="preserve">Untuk PSHA fasilitas vital (PLN substation 500 kV, Bendungan Jatiluhur, BATAN Serpong, calon NPP), single-station sigma φ_SS digunakan untuk mengurangi konservatisme. φ_SS dihitung dari residual stasiun spesifik yang sudah memiliki rekaman cukup.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5.4 Implikasi untuk EEWS Real-time</w:t>
      </w:r>
    </w:p>
    <w:p>
      <w:pPr>
        <w:spacing w:after="120" w:line="320"/>
        <w:jc w:val="both"/>
      </w:pPr>
      <w:r>
        <w:t xml:space="preserve">Untuk sistem early warning, framework ini memberi insight: </w:t>
      </w:r>
      <w:r>
        <w:rPr>
          <w:b/>
          <w:bCs/>
        </w:rPr>
        <w:t xml:space="preserve">real-time predictor harus belajar φ (path/site) yang lebih besar dan dominan, bukan menebak τ (event-specific)</w:t>
      </w:r>
      <w:r>
        <w:t xml:space="preserve">. IDA-PTW dengan 90 fitur waveform mengkonfirmasi hal ini melalui temporal holdout — fitur Site (Vs30, log_dist) menempati top-10 importance pada Stage 2/3 Spectral, persis sesuai logika φ-dominance Al Atik 2010.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6. Kesimpulan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TIGA KESIMPULAN INTI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1. Framework Al Atik 2010 adalah STANDAR INDUSTRI untuk dekomposisi variabilitas GMPE. Semua jurnal Q1 di teknik gempa modern menggunakannya.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2. σ²_total = τ² + φ² adalah aturan Pythagoras dalam ruang variansi, dengan τ menangkap inter-event dan φ menangkap intra-event variability.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3. Untuk IDA-PTW, framework ini memberikan UJI OVERFITTING YANG RIGOR — Δ R² observed (0,02) &lt;&lt; τ²/σ² expected (0,13-0,20) membuktikan model belajar generalizable physics.</w:t>
            </w:r>
          </w:p>
        </w:tc>
      </w:tr>
    </w:tbl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Referensi Utama</w:t>
      </w:r>
    </w:p>
    <w:p>
      <w:pPr>
        <w:spacing w:after="120" w:line="320"/>
        <w:jc w:val="both"/>
      </w:pPr>
      <w:r>
        <w:t xml:space="preserve">Al Atik, L., Abrahamson, N., Bommer, J. J., Scherbaum, F., Cotton, F., &amp; Kuehn, N. (2010). "The variability of ground-motion prediction equations and its components." Seismological Research Letters, 81(5), 794-801. doi: 10.1785/gssrl.81.5.794</w:t>
      </w:r>
    </w:p>
    <w:p>
      <w:pPr>
        <w:spacing w:after="120" w:line="320"/>
        <w:jc w:val="both"/>
      </w:pPr>
      <w:r>
        <w:t xml:space="preserve">Atkinson, G. M. (2006). "Single-station sigma." Bulletin of the Seismological Society of America, 96(2), 446-455.</w:t>
      </w:r>
    </w:p>
    <w:p>
      <w:pPr>
        <w:spacing w:after="120" w:line="320"/>
        <w:jc w:val="both"/>
      </w:pPr>
      <w:r>
        <w:t xml:space="preserve">Rodriguez-Marek, A., Cotton, F., Abrahamson, N. A., Akkar, S., Al Atik, L., Edwards, B., Montalva, G. A., &amp; Dawood, H. M. (2014). "A model for single-station standard deviation using data from various tectonic regions." BSSA, 104(3), 1601-1619.</w:t>
      </w:r>
    </w:p>
    <w:p>
      <w:pPr>
        <w:spacing w:after="120" w:line="320"/>
        <w:jc w:val="both"/>
      </w:pPr>
      <w:r>
        <w:t xml:space="preserve">Goulet, C. A., Abrahamson, N. A., Somerville, P. G., &amp; Wooddell, K. E. (2015). "The SCEC broadband platform validation exercise: Methodology for code validation in the context of seismic-hazard analyses." Seismological Research Letters, 86(1), 17-26.</w:t>
      </w:r>
    </w:p>
    <w:p>
      <w:pPr>
        <w:spacing w:before="360"/>
        <w:jc w:val="center"/>
      </w:pPr>
      <w:r>
        <w:rPr>
          <w:i/>
          <w:iCs/>
          <w:color w:val="566573"/>
          <w:sz w:val="18"/>
          <w:szCs w:val="18"/>
        </w:rPr>
        <w:t xml:space="preserve">Hanif A. Nugraha · FMIPA UI · BMKG · 2026</w:t>
      </w:r>
    </w:p>
    <w:sectPr>
      <w:pgSz w:w="12240" w:h="15840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ef0e7601b259716e3354a01e10fa61dada4ede3.undefined"/><Relationship Id="rId8" Type="http://schemas.openxmlformats.org/officeDocument/2006/relationships/image" Target="media/9a9b28d13cb4fc7fd84134590d7a6bfbadae451e.undefined"/><Relationship Id="rId9" Type="http://schemas.openxmlformats.org/officeDocument/2006/relationships/image" Target="media/5b55d840cd242d9f9931bd7005b338646b82f43b.undefined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Penjelasan Framework Al Atik 2010</dc:title>
  <dc:creator>Hanif Andi Nugraha</dc:creator>
  <dc:description>Mixed-effects sigma decomposition untuk validasi IDA-PTW</dc:description>
  <cp:lastModifiedBy>Un-named</cp:lastModifiedBy>
  <cp:revision>1</cp:revision>
  <dcterms:created xsi:type="dcterms:W3CDTF">2026-05-06T03:21:59.938Z</dcterms:created>
  <dcterms:modified xsi:type="dcterms:W3CDTF">2026-05-06T03:21:59.939Z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