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rFonts w:ascii="Arial" w:cs="Arial" w:eastAsia="Arial" w:hAnsi="Arial"/>
          <w:b/>
          <w:bCs/>
          <w:color w:val="1F3864"/>
          <w:sz w:val="32"/>
          <w:szCs w:val="32"/>
        </w:rPr>
        <w:t xml:space="preserve">Publication Readiness Report — IDA-PTW EEWS</w:t>
      </w:r>
    </w:p>
    <w:p>
      <w:pPr>
        <w:spacing w:after="200"/>
        <w:jc w:val="center"/>
      </w:pPr>
      <w:r>
        <w:rPr>
          <w:rFonts w:ascii="Arial" w:cs="Arial" w:eastAsia="Arial" w:hAnsi="Arial"/>
          <w:i/>
          <w:iCs/>
          <w:color w:val="595959"/>
          <w:sz w:val="18"/>
          <w:szCs w:val="18"/>
        </w:rPr>
        <w:t xml:space="preserve">IEEE Access Submission Go/No-Go Scorecard · Generated 2026-04-22</w:t>
      </w:r>
    </w:p>
    <w:p>
      <w:pPr>
        <w:pStyle w:val="Heading2"/>
        <w:spacing w:after="100" w:before="240"/>
      </w:pPr>
      <w:r>
        <w:rPr>
          <w:rFonts w:ascii="Arial" w:cs="Arial" w:eastAsia="Arial" w:hAnsi="Arial"/>
          <w:b/>
          <w:bCs/>
          <w:color w:val="1F3864"/>
          <w:sz w:val="24"/>
          <w:szCs w:val="24"/>
        </w:rPr>
        <w:t xml:space="preserve">Executive Verdict</w:t>
      </w:r>
    </w:p>
    <w:p>
      <w:pPr>
        <w:spacing w:after="140" w:before="0"/>
      </w:pPr>
      <w:r>
        <w:rPr>
          <w:rFonts w:ascii="Arial" w:cs="Arial" w:eastAsia="Arial" w:hAnsi="Arial"/>
          <w:b w:val="false"/>
          <w:bCs w:val="false"/>
          <w:i w:val="false"/>
          <w:iCs w:val="false"/>
          <w:color w:val="000000"/>
          <w:sz w:val="20"/>
          <w:szCs w:val="20"/>
        </w:rPr>
        <w:t xml:space="preserve">The IDA-PTW framework has a sound methodological core and four independent experiments producing reproducible, defensible results. However, the current draft of manuscript_draft_IEEE.md (764 lines, 89 refs) is NOT yet publication-ready due to two critical gaps: (1) ~31 numeric claims across the Abstract, Tables 4, 7, 8, 11, 12, and 15 have no CSV artifact in the repository — they are quoted as scalars only; (2) the Stage 0 URPD, Stage 1 Intensity Gate, and Stage 1.5 Distance Regressor subsystems described in Sections IV.B–D are not implemented in any script found in the codebase. An estimated 2–4 weeks of focused work is required to either produce the missing artifacts or trim the manuscript scope to what the data supports.</w:t>
      </w:r>
    </w:p>
    <w:p>
      <w:pPr>
        <w:spacing w:after="60" w:before="0"/>
      </w:pPr>
      <w:r>
        <w:rPr>
          <w:rFonts w:ascii="Arial" w:cs="Arial" w:eastAsia="Arial" w:hAnsi="Arial"/>
          <w:b/>
          <w:bCs/>
          <w:i w:val="false"/>
          <w:iCs w:val="false"/>
          <w:color w:val="000000"/>
          <w:sz w:val="20"/>
          <w:szCs w:val="20"/>
        </w:rPr>
        <w:t xml:space="preserve">Recommendation: do NOT submit to IEEE Access in current state. Two paths forward:</w:t>
      </w:r>
    </w:p>
    <w:p>
      <w:pPr>
        <w:spacing w:after="40" w:before="0"/>
      </w:pPr>
      <w:r>
        <w:rPr>
          <w:rFonts w:ascii="Arial" w:cs="Arial" w:eastAsia="Arial" w:hAnsi="Arial"/>
          <w:b w:val="false"/>
          <w:bCs w:val="false"/>
          <w:i w:val="false"/>
          <w:iCs w:val="false"/>
          <w:color w:val="000000"/>
          <w:sz w:val="20"/>
          <w:szCs w:val="20"/>
        </w:rPr>
        <w:t xml:space="preserve">1.  Full scope (preserves manuscript ambition). Retrieve/re-run the legacy Full-Wave c7a50193 and Total MiniSEED c3399cac experiments, implement Stage 0/1/1.5 subsystems with CSV outputs, produce sigma decomposition CSV, fix Table 1 metadata claims and Table 11 labels, then resubmit. Effort: 2–4 weeks.</w:t>
      </w:r>
    </w:p>
    <w:p>
      <w:pPr>
        <w:spacing w:after="160" w:before="0"/>
      </w:pPr>
      <w:r>
        <w:rPr>
          <w:rFonts w:ascii="Arial" w:cs="Arial" w:eastAsia="Arial" w:hAnsi="Arial"/>
          <w:b w:val="false"/>
          <w:bCs w:val="false"/>
          <w:i w:val="false"/>
          <w:iCs w:val="false"/>
          <w:color w:val="000000"/>
          <w:sz w:val="20"/>
          <w:szCs w:val="20"/>
        </w:rPr>
        <w:t xml:space="preserve">2.  Reduced scope (fastest path to publication). Restructure the paper around what is empirically verified — Evidence A (Fixed PTW benchmark), C (saturation), D (P-arrival robustness), plus the stratified IDA-PTW 103-period result — and defer Stage 0/1/1.5 + sigma decomposition + Full-Wave ceiling to a follow-up paper. Effort: 3–5 days.</w:t>
      </w:r>
    </w:p>
    <w:p>
      <w:pPr>
        <w:pStyle w:val="Heading2"/>
        <w:spacing w:after="100" w:before="240"/>
      </w:pPr>
      <w:r>
        <w:rPr>
          <w:rFonts w:ascii="Arial" w:cs="Arial" w:eastAsia="Arial" w:hAnsi="Arial"/>
          <w:b/>
          <w:bCs/>
          <w:color w:val="1F3864"/>
          <w:sz w:val="24"/>
          <w:szCs w:val="24"/>
        </w:rPr>
        <w:t xml:space="preserve">Status Summary</w:t>
      </w:r>
    </w:p>
    <w:p>
      <w:pPr>
        <w:spacing w:after="80" w:before="0"/>
      </w:pPr>
      <w:r>
        <w:rPr>
          <w:rFonts w:ascii="Arial" w:cs="Arial" w:eastAsia="Arial" w:hAnsi="Arial"/>
          <w:b w:val="false"/>
          <w:bCs w:val="false"/>
          <w:i w:val="false"/>
          <w:iCs w:val="false"/>
          <w:color w:val="000000"/>
          <w:sz w:val="20"/>
          <w:szCs w:val="20"/>
        </w:rPr>
        <w:t xml:space="preserve">Based on traceability analysis across all claims in the manuscript abstract, tables 1–17, and conclusions: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800"/>
        <w:gridCol w:w="4500"/>
        <w:gridCol w:w="1060"/>
      </w:tblGrid>
      <w:tr>
        <w:trPr>
          <w:tblHeader/>
        </w:trPr>
        <w:tc>
          <w:tcPr>
            <w:tcW w:type="dxa" w:w="30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Status</w:t>
            </w:r>
          </w:p>
        </w:tc>
        <w:tc>
          <w:tcPr>
            <w:tcW w:type="dxa" w:w="8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Count</w:t>
            </w:r>
          </w:p>
        </w:tc>
        <w:tc>
          <w:tcPr>
            <w:tcW w:type="dxa" w:w="45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Meaning</w:t>
            </w:r>
          </w:p>
        </w:tc>
        <w:tc>
          <w:tcPr>
            <w:tcW w:type="dxa" w:w="106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Severity</w:t>
            </w:r>
          </w:p>
        </w:tc>
      </w:tr>
      <w:tr>
        <w:tc>
          <w:tcPr>
            <w:tcW w:type="dxa" w:w="3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MATCH / FULL MATCH</w:t>
            </w:r>
          </w:p>
        </w:tc>
        <w:tc>
          <w:tcPr>
            <w:tcW w:type="dxa" w:w="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9</w:t>
            </w:r>
          </w:p>
        </w:tc>
        <w:tc>
          <w:tcPr>
            <w:tcW w:type="dxa" w:w="45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Numbers exactly reproduce from authoritative CSV</w:t>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OK</w:t>
            </w:r>
          </w:p>
        </w:tc>
      </w:tr>
      <w:tr>
        <w:tc>
          <w:tcPr>
            <w:tcW w:type="dxa" w:w="3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COMPUTE OK</w:t>
            </w:r>
          </w:p>
        </w:tc>
        <w:tc>
          <w:tcPr>
            <w:tcW w:type="dxa" w:w="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3</w:t>
            </w:r>
          </w:p>
        </w:tc>
        <w:tc>
          <w:tcPr>
            <w:tcW w:type="dxa" w:w="45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Derived correctly from source CSV</w:t>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OK</w:t>
            </w:r>
          </w:p>
        </w:tc>
      </w:tr>
      <w:tr>
        <w:tc>
          <w:tcPr>
            <w:tcW w:type="dxa" w:w="3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CLOSE</w:t>
            </w:r>
          </w:p>
        </w:tc>
        <w:tc>
          <w:tcPr>
            <w:tcW w:type="dxa" w:w="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1</w:t>
            </w:r>
          </w:p>
        </w:tc>
        <w:tc>
          <w:tcPr>
            <w:tcW w:type="dxa" w:w="45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Within rounding tolerance; check whether acceptable</w:t>
            </w:r>
          </w:p>
        </w:tc>
        <w:tc>
          <w:tcPr>
            <w:tcW w:type="dxa" w:w="1100"/>
            <w:tcBorders>
              <w:top w:val="single" w:color="7F7F7F" w:sz="4"/>
              <w:left w:val="single" w:color="7F7F7F" w:sz="4"/>
              <w:bottom w:val="single" w:color="7F7F7F" w:sz="4"/>
              <w:right w:val="single" w:color="7F7F7F" w:sz="4"/>
            </w:tcBorders>
            <w:shd w:fill="B87323"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WARN</w:t>
            </w:r>
          </w:p>
        </w:tc>
      </w:tr>
      <w:tr>
        <w:tc>
          <w:tcPr>
            <w:tcW w:type="dxa" w:w="3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OFF / PARTIAL</w:t>
            </w:r>
          </w:p>
        </w:tc>
        <w:tc>
          <w:tcPr>
            <w:tcW w:type="dxa" w:w="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4</w:t>
            </w:r>
          </w:p>
        </w:tc>
        <w:tc>
          <w:tcPr>
            <w:tcW w:type="dxa" w:w="45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Value mismatches data source; needs paper-side correction</w:t>
            </w:r>
          </w:p>
        </w:tc>
        <w:tc>
          <w:tcPr>
            <w:tcW w:type="dxa" w:w="1100"/>
            <w:tcBorders>
              <w:top w:val="single" w:color="7F7F7F" w:sz="4"/>
              <w:left w:val="single" w:color="7F7F7F" w:sz="4"/>
              <w:bottom w:val="single" w:color="7F7F7F" w:sz="4"/>
              <w:right w:val="single" w:color="7F7F7F" w:sz="4"/>
            </w:tcBorders>
            <w:shd w:fill="B87323"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WARN</w:t>
            </w:r>
          </w:p>
        </w:tc>
      </w:tr>
      <w:tr>
        <w:tc>
          <w:tcPr>
            <w:tcW w:type="dxa" w:w="3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NARR / UNCHECKED</w:t>
            </w:r>
          </w:p>
        </w:tc>
        <w:tc>
          <w:tcPr>
            <w:tcW w:type="dxa" w:w="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3</w:t>
            </w:r>
          </w:p>
        </w:tc>
        <w:tc>
          <w:tcPr>
            <w:tcW w:type="dxa" w:w="45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Narrative claim; source exists but not tabulated/checked</w:t>
            </w:r>
          </w:p>
        </w:tc>
        <w:tc>
          <w:tcPr>
            <w:tcW w:type="dxa" w:w="1100"/>
            <w:tcBorders>
              <w:top w:val="single" w:color="7F7F7F" w:sz="4"/>
              <w:left w:val="single" w:color="7F7F7F" w:sz="4"/>
              <w:bottom w:val="single" w:color="7F7F7F" w:sz="4"/>
              <w:right w:val="single" w:color="7F7F7F" w:sz="4"/>
            </w:tcBorders>
            <w:shd w:fill="B87323"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WARN</w:t>
            </w:r>
          </w:p>
        </w:tc>
      </w:tr>
      <w:tr>
        <w:tc>
          <w:tcPr>
            <w:tcW w:type="dxa" w:w="3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NO CSV</w:t>
            </w:r>
          </w:p>
        </w:tc>
        <w:tc>
          <w:tcPr>
            <w:tcW w:type="dxa" w:w="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31</w:t>
            </w:r>
          </w:p>
        </w:tc>
        <w:tc>
          <w:tcPr>
            <w:tcW w:type="dxa" w:w="45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Claim has no reproducible CSV artifact in repo</w:t>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BLOCK</w:t>
            </w:r>
          </w:p>
        </w:tc>
      </w:tr>
      <w:tr>
        <w:tc>
          <w:tcPr>
            <w:tcW w:type="dxa" w:w="3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FABRICATED / WRONG / MISLABEL</w:t>
            </w:r>
          </w:p>
        </w:tc>
        <w:tc>
          <w:tcPr>
            <w:tcW w:type="dxa" w:w="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5</w:t>
            </w:r>
          </w:p>
        </w:tc>
        <w:tc>
          <w:tcPr>
            <w:tcW w:type="dxa" w:w="45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Number cannot be defended from data; must fix before submission</w:t>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BLOCK</w:t>
            </w:r>
          </w:p>
        </w:tc>
      </w:tr>
    </w:tbl>
    <w:p>
      <w:pPr>
        <w:pStyle w:val="Heading2"/>
        <w:spacing w:after="100" w:before="240"/>
      </w:pPr>
      <w:r>
        <w:rPr>
          <w:rFonts w:ascii="Arial" w:cs="Arial" w:eastAsia="Arial" w:hAnsi="Arial"/>
          <w:b/>
          <w:bCs/>
          <w:color w:val="1F3864"/>
          <w:sz w:val="24"/>
          <w:szCs w:val="24"/>
        </w:rPr>
        <w:t xml:space="preserve">1. INPUT Data Validation</w:t>
      </w:r>
    </w:p>
    <w:p>
      <w:pPr>
        <w:spacing w:after="80" w:before="0"/>
      </w:pPr>
      <w:r>
        <w:rPr>
          <w:rFonts w:ascii="Arial" w:cs="Arial" w:eastAsia="Arial" w:hAnsi="Arial"/>
          <w:b w:val="false"/>
          <w:bCs w:val="false"/>
          <w:i w:val="false"/>
          <w:iCs w:val="false"/>
          <w:color w:val="000000"/>
          <w:sz w:val="20"/>
          <w:szCs w:val="20"/>
        </w:rPr>
        <w:t xml:space="preserve">Files checked: metadata.csv (86,190 rows × 223 cols), metadata_golden.csv (21,704 rows), rosers_features_ptw3.csv (25,058 rows, the training set), stratified_features.csv (2,747 rows × 116 cols IDA subset).</w:t>
      </w:r>
    </w:p>
    <w:p>
      <w:pPr>
        <w:pStyle w:val="Heading3"/>
        <w:spacing w:after="60" w:before="160"/>
      </w:pPr>
      <w:r>
        <w:rPr>
          <w:rFonts w:ascii="Arial" w:cs="Arial" w:eastAsia="Arial" w:hAnsi="Arial"/>
          <w:b/>
          <w:bCs/>
          <w:color w:val="2E75B6"/>
          <w:sz w:val="20"/>
          <w:szCs w:val="20"/>
        </w:rPr>
        <w:t xml:space="preserve">Dataset composition (previously undocumented)</w:t>
      </w:r>
    </w:p>
    <w:p>
      <w:pPr>
        <w:spacing w:after="120" w:before="0"/>
      </w:pPr>
      <w:r>
        <w:rPr>
          <w:rFonts w:ascii="Arial" w:cs="Arial" w:eastAsia="Arial" w:hAnsi="Arial"/>
          <w:b w:val="false"/>
          <w:bCs w:val="false"/>
          <w:i w:val="false"/>
          <w:iCs w:val="false"/>
          <w:color w:val="000000"/>
          <w:sz w:val="20"/>
          <w:szCs w:val="20"/>
        </w:rPr>
        <w:t xml:space="preserve">The 25,058-trace dataset is a UNION of two sources:  d1 prefix — 24,466 main Java-Sunda traces from routine BMKG seismicity; gb3 prefix — 592 injected traces from 3 Damaging events (Cianjur 2022-11-21, late-2023 event, 2024-04-27) for class-balancing during stratified training. This composition is not described in Section III.A and must be disclosed for reproducibility.</w:t>
      </w:r>
    </w:p>
    <w:p>
      <w:pPr>
        <w:pStyle w:val="Heading3"/>
        <w:spacing w:after="60" w:before="160"/>
      </w:pPr>
      <w:r>
        <w:rPr>
          <w:rFonts w:ascii="Arial" w:cs="Arial" w:eastAsia="Arial" w:hAnsi="Arial"/>
          <w:b/>
          <w:bCs/>
          <w:color w:val="2E75B6"/>
          <w:sz w:val="20"/>
          <w:szCs w:val="20"/>
        </w:rPr>
        <w:t xml:space="preserve">Dataset metadata discrepancies vs. Table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2200"/>
        <w:gridCol w:w="2360"/>
      </w:tblGrid>
      <w:tr>
        <w:trPr>
          <w:tblHeader/>
        </w:trPr>
        <w:tc>
          <w:tcPr>
            <w:tcW w:type="dxa" w:w="26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Parameter</w:t>
            </w:r>
          </w:p>
        </w:tc>
        <w:tc>
          <w:tcPr>
            <w:tcW w:type="dxa" w:w="2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Manuscript</w:t>
            </w:r>
          </w:p>
        </w:tc>
        <w:tc>
          <w:tcPr>
            <w:tcW w:type="dxa" w:w="2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Observed</w:t>
            </w:r>
          </w:p>
        </w:tc>
        <w:tc>
          <w:tcPr>
            <w:tcW w:type="dxa" w:w="236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Action</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Total traces</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25,058</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25,058 ✓</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1E7A3E"/>
                <w:sz w:val="17"/>
                <w:szCs w:val="17"/>
              </w:rPr>
              <w:t xml:space="preserve">Keep</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Distinct events</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336</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338 (335 common w/ metadata)</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B87323"/>
                <w:sz w:val="17"/>
                <w:szCs w:val="17"/>
              </w:rPr>
              <w:t xml:space="preserve">Correct to 338</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IA-BMKG stations</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125</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125 ✓</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1E7A3E"/>
                <w:sz w:val="17"/>
                <w:szCs w:val="17"/>
              </w:rPr>
              <w:t xml:space="preserve">Keep</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Spectral periods</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103</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103 ✓</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1E7A3E"/>
                <w:sz w:val="17"/>
                <w:szCs w:val="17"/>
              </w:rPr>
              <w:t xml:space="preserve">Keep</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Magnitude Mw</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1.7–6.2</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1.7–6.2 ✓</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1E7A3E"/>
                <w:sz w:val="17"/>
                <w:szCs w:val="17"/>
              </w:rPr>
              <w:t xml:space="preserve">Keep</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Epicentral distance</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5–560 km</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0.7–299.9 km (d1 subset)</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B87323"/>
                <w:sz w:val="17"/>
                <w:szCs w:val="17"/>
              </w:rPr>
              <w:t xml:space="preserve">Correct both bounds</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Median distance</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~109 km</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121.9 km</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B87323"/>
                <w:sz w:val="17"/>
                <w:szCs w:val="17"/>
              </w:rPr>
              <w:t xml:space="preserve">Correct to ~122 km</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PGA range</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1.66e-7 to 6.00 gal</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1.66e-7 to 1.66 gal (d1) + gb3</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Verify gb3 max; correct if needed</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Weak (&lt;4 gal)</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~30,540 (94%)</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24,466 (97.6% if gb3 damaging)</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Recompute on 25,058</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Felt/Strong</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~1,931 (5.7%)</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 (d1 max &lt;4)</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Recompute</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Damaging</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~101 (0.3%)</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≈592 from gb3</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Recompute</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Saturation subset N</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1,204</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1,046 (d1 only)</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Verify with gb3</w:t>
            </w:r>
          </w:p>
        </w:tc>
      </w:tr>
    </w:tbl>
    <w:p>
      <w:pPr>
        <w:pStyle w:val="Heading2"/>
        <w:spacing w:after="100" w:before="240"/>
      </w:pPr>
      <w:r>
        <w:rPr>
          <w:rFonts w:ascii="Arial" w:cs="Arial" w:eastAsia="Arial" w:hAnsi="Arial"/>
          <w:b/>
          <w:bCs/>
          <w:color w:val="1F3864"/>
          <w:sz w:val="24"/>
          <w:szCs w:val="24"/>
        </w:rPr>
        <w:t xml:space="preserve">2. PROCESS Validation</w:t>
      </w:r>
    </w:p>
    <w:p>
      <w:pPr>
        <w:pStyle w:val="Heading3"/>
        <w:spacing w:after="60" w:before="160"/>
      </w:pPr>
      <w:r>
        <w:rPr>
          <w:rFonts w:ascii="Arial" w:cs="Arial" w:eastAsia="Arial" w:hAnsi="Arial"/>
          <w:b/>
          <w:bCs/>
          <w:color w:val="2E75B6"/>
          <w:sz w:val="20"/>
          <w:szCs w:val="20"/>
        </w:rPr>
        <w:t xml:space="preserve">2.1 GroupKFold leakage check — PASS</w:t>
      </w:r>
    </w:p>
    <w:p>
      <w:pPr>
        <w:spacing w:after="100" w:before="0"/>
      </w:pPr>
      <w:r>
        <w:rPr>
          <w:rFonts w:ascii="Arial" w:cs="Arial" w:eastAsia="Arial" w:hAnsi="Arial"/>
          <w:b w:val="false"/>
          <w:bCs w:val="false"/>
          <w:i w:val="false"/>
          <w:iCs w:val="false"/>
          <w:color w:val="000000"/>
          <w:sz w:val="20"/>
          <w:szCs w:val="20"/>
        </w:rPr>
        <w:t xml:space="preserve">Simulated 5-fold GroupKFold on stratified_features.csv (N=2,747, 210 events) verified zero event-ID overlap between train and validation across all 5 folds. CV protocol is leakage-free. This matches the manuscript Section IV.F description.</w:t>
      </w:r>
    </w:p>
    <w:p>
      <w:pPr>
        <w:pStyle w:val="Heading3"/>
        <w:spacing w:after="60" w:before="160"/>
      </w:pPr>
      <w:r>
        <w:rPr>
          <w:rFonts w:ascii="Arial" w:cs="Arial" w:eastAsia="Arial" w:hAnsi="Arial"/>
          <w:b/>
          <w:bCs/>
          <w:color w:val="2E75B6"/>
          <w:sz w:val="20"/>
          <w:szCs w:val="20"/>
        </w:rPr>
        <w:t xml:space="preserve">2.2 Hyperparameter inconsistency — CONFIRMED (3 distinct runs)</w:t>
      </w:r>
    </w:p>
    <w:p>
      <w:pPr>
        <w:spacing w:after="60" w:before="0"/>
      </w:pPr>
      <w:r>
        <w:rPr>
          <w:rFonts w:ascii="Arial" w:cs="Arial" w:eastAsia="Arial" w:hAnsi="Arial"/>
          <w:b w:val="false"/>
          <w:bCs w:val="false"/>
          <w:i w:val="false"/>
          <w:iCs w:val="false"/>
          <w:color w:val="000000"/>
          <w:sz w:val="20"/>
          <w:szCs w:val="20"/>
        </w:rPr>
        <w:t xml:space="preserve">Training scripts use divergent XGBoost configurations — this explains the 0.876 / 0.738 / 0.625 R² spread in the cross-check.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1200"/>
        <w:gridCol w:w="1200"/>
        <w:gridCol w:w="1200"/>
        <w:gridCol w:w="1360"/>
      </w:tblGrid>
      <w:tr>
        <w:trPr>
          <w:tblHeader/>
        </w:trPr>
        <w:tc>
          <w:tcPr>
            <w:tcW w:type="dxa" w:w="3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Script</w:t>
            </w:r>
          </w:p>
        </w:tc>
        <w:tc>
          <w:tcPr>
            <w:tcW w:type="dxa" w:w="1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n_est</w:t>
            </w:r>
          </w:p>
        </w:tc>
        <w:tc>
          <w:tcPr>
            <w:tcW w:type="dxa" w:w="1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max_d</w:t>
            </w:r>
          </w:p>
        </w:tc>
        <w:tc>
          <w:tcPr>
            <w:tcW w:type="dxa" w:w="1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lr</w:t>
            </w:r>
          </w:p>
        </w:tc>
        <w:tc>
          <w:tcPr>
            <w:tcW w:type="dxa" w:w="1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subs</w:t>
            </w:r>
          </w:p>
        </w:tc>
        <w:tc>
          <w:tcPr>
            <w:tcW w:type="dxa" w:w="136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Labeled as</w:t>
            </w:r>
          </w:p>
        </w:tc>
      </w:tr>
      <w:tr>
        <w:tc>
          <w:tcPr>
            <w:tcW w:type="dxa" w:w="3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train_stratified_ida.py</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800</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0.03</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0.8</w:t>
            </w:r>
          </w:p>
        </w:tc>
        <w:tc>
          <w:tcPr>
            <w:tcW w:type="dxa" w:w="1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RUN-A</w:t>
            </w:r>
          </w:p>
        </w:tc>
      </w:tr>
      <w:tr>
        <w:tc>
          <w:tcPr>
            <w:tcW w:type="dxa" w:w="3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train_golden_ida.py</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800</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0.03</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0.8</w:t>
            </w:r>
          </w:p>
        </w:tc>
        <w:tc>
          <w:tcPr>
            <w:tcW w:type="dxa" w:w="1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RUN-A</w:t>
            </w:r>
          </w:p>
        </w:tc>
      </w:tr>
      <w:tr>
        <w:tc>
          <w:tcPr>
            <w:tcW w:type="dxa" w:w="3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train_xgboost_103_periods.py</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400</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0.02</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0.8</w:t>
            </w:r>
          </w:p>
        </w:tc>
        <w:tc>
          <w:tcPr>
            <w:tcW w:type="dxa" w:w="1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w:t>
            </w:r>
          </w:p>
        </w:tc>
      </w:tr>
      <w:tr>
        <w:tc>
          <w:tcPr>
            <w:tcW w:type="dxa" w:w="3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train_stage2_gated_marathon.py</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300</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9</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0.05</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0.8</w:t>
            </w:r>
          </w:p>
        </w:tc>
        <w:tc>
          <w:tcPr>
            <w:tcW w:type="dxa" w:w="1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w:t>
            </w:r>
          </w:p>
        </w:tc>
      </w:tr>
      <w:tr>
        <w:tc>
          <w:tcPr>
            <w:tcW w:type="dxa" w:w="3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train_xgboost_103_marathon_all.py</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150</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8</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0.05</w:t>
            </w:r>
          </w:p>
        </w:tc>
        <w:tc>
          <w:tcPr>
            <w:tcW w:type="dxa" w:w="1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0.7</w:t>
            </w:r>
          </w:p>
        </w:tc>
        <w:tc>
          <w:tcPr>
            <w:tcW w:type="dxa" w:w="1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RUN-B</w:t>
            </w:r>
          </w:p>
        </w:tc>
      </w:tr>
    </w:tbl>
    <w:p>
      <w:pPr>
        <w:pStyle w:val="Heading3"/>
        <w:spacing w:after="60" w:before="160"/>
      </w:pPr>
      <w:r>
        <w:rPr>
          <w:rFonts w:ascii="Arial" w:cs="Arial" w:eastAsia="Arial" w:hAnsi="Arial"/>
          <w:b/>
          <w:bCs/>
          <w:color w:val="2E75B6"/>
          <w:sz w:val="20"/>
          <w:szCs w:val="20"/>
        </w:rPr>
        <w:t xml:space="preserve">2.3 Feature Dichotomy — NOT IMPLEMENTED</w:t>
      </w:r>
    </w:p>
    <w:p>
      <w:pPr>
        <w:spacing w:after="100" w:before="0"/>
      </w:pPr>
      <w:r>
        <w:rPr>
          <w:rFonts w:ascii="Arial" w:cs="Arial" w:eastAsia="Arial" w:hAnsi="Arial"/>
          <w:b w:val="false"/>
          <w:bCs w:val="false"/>
          <w:i w:val="false"/>
          <w:iCs w:val="false"/>
          <w:color w:val="000000"/>
          <w:sz w:val="20"/>
          <w:szCs w:val="20"/>
        </w:rPr>
        <w:t xml:space="preserve">Manuscript Section IV.E describes that saturating features (τc, Pd, Pv) are assigned 5× reduced feature_weights in XGBoost to prevent large-event saturation artifacts. A code search across all 6 training scripts found ZERO instances of `feature_weights`. The Feature Dichotomy is thus described as a methodological principle in the paper, but is not realized in the shipped training pipeline. Options: (a) implement it properly and re-run (preferred), (b) remove the claim from manuscript Section IV.E + Table 10 justification, (c) reframe it as a future enhancement.</w:t>
      </w:r>
    </w:p>
    <w:p>
      <w:pPr>
        <w:pStyle w:val="Heading3"/>
        <w:spacing w:after="60" w:before="160"/>
      </w:pPr>
      <w:r>
        <w:rPr>
          <w:rFonts w:ascii="Arial" w:cs="Arial" w:eastAsia="Arial" w:hAnsi="Arial"/>
          <w:b/>
          <w:bCs/>
          <w:color w:val="2E75B6"/>
          <w:sz w:val="20"/>
          <w:szCs w:val="20"/>
        </w:rPr>
        <w:t xml:space="preserve">2.4 Missing subsystems — Stage 0, Stage 1, Stage 1.5</w:t>
      </w:r>
    </w:p>
    <w:p>
      <w:pPr>
        <w:spacing w:after="100" w:before="0"/>
      </w:pPr>
      <w:r>
        <w:rPr>
          <w:rFonts w:ascii="Arial" w:cs="Arial" w:eastAsia="Arial" w:hAnsi="Arial"/>
          <w:b w:val="false"/>
          <w:bCs w:val="false"/>
          <w:i w:val="false"/>
          <w:iCs w:val="false"/>
          <w:color w:val="000000"/>
          <w:sz w:val="20"/>
          <w:szCs w:val="20"/>
        </w:rPr>
        <w:t xml:space="preserve">None of the Stage 0 URPD, Stage 1 Intensity Gate, or Stage 1.5 Distance Regressor scripts described in Sections IV.B–D exist in the `src/pipeline/` or `src/models/` directories of the repo. No GradientBoostingClassifier, no SMOTE oversampling, no AUC computation, no confusion matrix output. The numbers in Tables 4, 7, and 8 — including AUC = 0.988, 93.01% accuracy, 91.09% Damaging Recall, 99.87% routing fidelity — cannot be reproduced from the current codebase.</w:t>
      </w:r>
    </w:p>
    <w:p>
      <w:pPr>
        <w:pStyle w:val="Heading3"/>
        <w:spacing w:after="60" w:before="160"/>
      </w:pPr>
      <w:r>
        <w:rPr>
          <w:rFonts w:ascii="Arial" w:cs="Arial" w:eastAsia="Arial" w:hAnsi="Arial"/>
          <w:b/>
          <w:bCs/>
          <w:color w:val="2E75B6"/>
          <w:sz w:val="20"/>
          <w:szCs w:val="20"/>
        </w:rPr>
        <w:t xml:space="preserve">2.5 Physics engine (scwfparam) — VALIDATED</w:t>
      </w:r>
    </w:p>
    <w:p>
      <w:pPr>
        <w:spacing w:after="140" w:before="0"/>
      </w:pPr>
      <w:r>
        <w:rPr>
          <w:rFonts w:ascii="Arial" w:cs="Arial" w:eastAsia="Arial" w:hAnsi="Arial"/>
          <w:b w:val="false"/>
          <w:bCs w:val="false"/>
          <w:i w:val="false"/>
          <w:iCs w:val="false"/>
          <w:color w:val="000000"/>
          <w:sz w:val="20"/>
          <w:szCs w:val="20"/>
        </w:rPr>
        <w:t xml:space="preserve">The SCWFPARAM Newmark-Beta R² = 0.999 claim is supported by generate_golden_report.py (51 lines, uses log10 and sklearn r2_score correctly) on the 21,704-row golden subset. This establishes a legitimate physics ceiling reference.</w:t>
      </w:r>
    </w:p>
    <w:p>
      <w:pPr>
        <w:pStyle w:val="Heading2"/>
        <w:spacing w:after="100" w:before="240"/>
      </w:pPr>
      <w:r>
        <w:rPr>
          <w:rFonts w:ascii="Arial" w:cs="Arial" w:eastAsia="Arial" w:hAnsi="Arial"/>
          <w:b/>
          <w:bCs/>
          <w:color w:val="1F3864"/>
          <w:sz w:val="24"/>
          <w:szCs w:val="24"/>
        </w:rPr>
        <w:t xml:space="preserve">3. OUTPUT Validation</w:t>
      </w:r>
    </w:p>
    <w:p>
      <w:pPr>
        <w:spacing w:after="100" w:before="0"/>
      </w:pPr>
      <w:r>
        <w:rPr>
          <w:rFonts w:ascii="Arial" w:cs="Arial" w:eastAsia="Arial" w:hAnsi="Arial"/>
          <w:b w:val="false"/>
          <w:bCs w:val="false"/>
          <w:i w:val="false"/>
          <w:iCs w:val="false"/>
          <w:color w:val="000000"/>
          <w:sz w:val="20"/>
          <w:szCs w:val="20"/>
        </w:rPr>
        <w:t xml:space="preserve">All 14 CSV files in reports/analysis/ and reports/performance/ are machine-readable. A 46-point numeric re-verification against authoritative CSVs (benchmark_results_fixed.csv, saturation_test_results.csv, p_arrival_sensitivity.csv, scwfparam_equivalence_golden.csv, spectral_r2_performance.csv) passed 46/46 (100%). These CSVs are publication-grade and correctly support Tables 13, 14, and the Fixed-PTW rows of Table 11.</w:t>
      </w:r>
    </w:p>
    <w:p>
      <w:pPr>
        <w:pStyle w:val="Heading2"/>
        <w:spacing w:after="100" w:before="240"/>
      </w:pPr>
      <w:r>
        <w:rPr>
          <w:rFonts w:ascii="Arial" w:cs="Arial" w:eastAsia="Arial" w:hAnsi="Arial"/>
          <w:b/>
          <w:bCs/>
          <w:color w:val="1F3864"/>
          <w:sz w:val="24"/>
          <w:szCs w:val="24"/>
        </w:rPr>
        <w:t xml:space="preserve">4. Manuscript Traceability Matrix</w:t>
      </w:r>
    </w:p>
    <w:p>
      <w:pPr>
        <w:spacing w:after="80" w:before="0"/>
      </w:pPr>
      <w:r>
        <w:rPr>
          <w:rFonts w:ascii="Arial" w:cs="Arial" w:eastAsia="Arial" w:hAnsi="Arial"/>
          <w:b w:val="false"/>
          <w:bCs w:val="false"/>
          <w:i/>
          <w:iCs/>
          <w:color w:val="595959"/>
          <w:sz w:val="18"/>
          <w:szCs w:val="18"/>
        </w:rPr>
        <w:t xml:space="preserve">Status abbreviations: MATCH = exact numeric reproduction from CSV; COMPUTE = derived correctly; OFF = numerical mismatch; WRONG/FABRICATED/MISLABEL = cannot be defended from data; NO CSV = no reproducible source in repo.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2000"/>
        <w:gridCol w:w="1800"/>
        <w:gridCol w:w="2300"/>
        <w:gridCol w:w="1050"/>
        <w:gridCol w:w="1100"/>
      </w:tblGrid>
      <w:tr>
        <w:trPr>
          <w:tblHeader/>
        </w:trPr>
        <w:tc>
          <w:tcPr>
            <w:tcW w:type="dxa" w:w="11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Section</w:t>
            </w:r>
          </w:p>
        </w:tc>
        <w:tc>
          <w:tcPr>
            <w:tcW w:type="dxa" w:w="20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Claim</w:t>
            </w:r>
          </w:p>
        </w:tc>
        <w:tc>
          <w:tcPr>
            <w:tcW w:type="dxa" w:w="18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Value</w:t>
            </w:r>
          </w:p>
        </w:tc>
        <w:tc>
          <w:tcPr>
            <w:tcW w:type="dxa" w:w="23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Source / Observation</w:t>
            </w:r>
          </w:p>
        </w:tc>
        <w:tc>
          <w:tcPr>
            <w:tcW w:type="dxa" w:w="105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w:t>
            </w:r>
          </w:p>
        </w:tc>
        <w:tc>
          <w:tcPr>
            <w:tcW w:type="dxa" w:w="11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Status</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25,058 accelerograms</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25,058</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rosers_features_ptw3.csv</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MATCH</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336 events</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336</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actual 338</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B87323"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OFF BY 2</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AUC = 0.988</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0.988</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Blind zone 38→11/4 km</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11/4 km</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DATA</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Stage 1 accuracy 93.01%</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93.01%</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Damaging Recall 91.09%</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91.09%</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Stage 1.5 routing 99.87%</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99.87%</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Composite R² = 0.731</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0.731</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Golden Time 99.44%</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99.44%</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Abstract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τ=0.458, φ=0.598, σ=0.755</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various</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 T.1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Total 25,058</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25,058</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rosers</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MATCH</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 T.1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Stations = 125</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125</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metadata.csv</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MATCH</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 T.1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Periods = 103</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103</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metadata</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MATCH</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 T.1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Mw 1.7–6.2</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1.7–6.2</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metadata</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MATCH</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 T.1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Epicentral 5–560 km</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5–560 km</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actual 0.7–299.9</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WRONG</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 T.1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PGA max 6.00 gal</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6.00 gal</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d1 max 1.66; gb3 unknown</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B87323"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PARTIAL</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 T.1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Median dist ~109 km</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109 km</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actual 121.9</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B87323"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OFF</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Weak 30,540 (94%)</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30,540</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24,466 (100% d1)</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FABRICATED</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Felt/Strong 1,931</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1,931</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0 d1; ~gb3</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FABRICATED</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III.C</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Damaging ~101</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101</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592 gb3 all-dmg</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FABRICATED</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IV.B T.4</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AUC 0.988 + thresholds</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various</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SCRIPT</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IV.C T.7</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Stage 1 metrics</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various</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SCRIPT</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IV.D T.8</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Stage 1.5 C0–C4 configs</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various</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SCRIPT</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V.A T.11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Fixed 2/3/8 rows</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various</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benchmark_fixed.csv</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MATCH</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V.A T.11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Fixed "4s" row</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0.7181 etc.</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actually PTW=5</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MISLABEL</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V.A T.11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Fixed "6s" composite</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0.7808</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V.A T.11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IDA-PTW Operational</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0.7309</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V.A T.11</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IDA-PTW Oracle</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0.7311</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V.B T.12</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Full-Wave 341s R²=0.947</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0.947</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legacy c7a50193</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V.B T.12</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Total MiniSEED 430s</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0.957</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legacy c3399cac</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V.C T.13</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All 3 Sa values × 2 PTW</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various</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saturation_test_results.csv</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MATCH</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V.C T.13</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N=1,204</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1,204</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d1 only 1,046</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B87323"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OFF</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V.C T.13</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Wilcoxon p</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p&lt;0.001</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B87323"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V.D T.14</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All 7 shifts × 3 periods</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various</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p_arrival_sensitivity.csv</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1E7A3E"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FULL MATCH</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V.E T.15</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τ, φ, σ per period</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all</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r>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V.E T.15</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Within ±0.5/1.0 log10</w:t>
            </w:r>
          </w:p>
        </w:tc>
        <w:tc>
          <w:tcPr>
            <w:tcW w:type="dxa" w:w="18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54.4/83.3%</w:t>
            </w:r>
          </w:p>
        </w:tc>
        <w:tc>
          <w:tcPr>
            <w:tcW w:type="dxa" w:w="23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t>
            </w:r>
          </w:p>
        </w:tc>
        <w:tc>
          <w:tcPr>
            <w:tcW w:type="dxa" w:w="105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1100"/>
            <w:tcBorders>
              <w:top w:val="single" w:color="7F7F7F" w:sz="4"/>
              <w:left w:val="single" w:color="7F7F7F" w:sz="4"/>
              <w:bottom w:val="single" w:color="7F7F7F" w:sz="4"/>
              <w:right w:val="single" w:color="7F7F7F" w:sz="4"/>
            </w:tcBorders>
            <w:shd w:fill="C0392B"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NO CSV</w:t>
            </w:r>
          </w:p>
        </w:tc>
      </w:tr>
    </w:tbl>
    <w:p>
      <w:pPr>
        <w:pStyle w:val="Heading2"/>
        <w:spacing w:after="100" w:before="240"/>
      </w:pPr>
      <w:r>
        <w:rPr>
          <w:rFonts w:ascii="Arial" w:cs="Arial" w:eastAsia="Arial" w:hAnsi="Arial"/>
          <w:b/>
          <w:bCs/>
          <w:color w:val="1F3864"/>
          <w:sz w:val="24"/>
          <w:szCs w:val="24"/>
        </w:rPr>
        <w:t xml:space="preserve">5. Priority Action Plan</w:t>
      </w:r>
    </w:p>
    <w:p>
      <w:pPr>
        <w:pStyle w:val="Heading3"/>
        <w:spacing w:after="60" w:before="160"/>
      </w:pPr>
      <w:r>
        <w:rPr>
          <w:rFonts w:ascii="Arial" w:cs="Arial" w:eastAsia="Arial" w:hAnsi="Arial"/>
          <w:b/>
          <w:bCs/>
          <w:color w:val="2E75B6"/>
          <w:sz w:val="20"/>
          <w:szCs w:val="20"/>
        </w:rPr>
        <w:t xml:space="preserve">🔴 BLOCKERS — must resolve before submission</w:t>
      </w:r>
    </w:p>
    <w:p>
      <w:pPr>
        <w:spacing w:after="40" w:before="0"/>
      </w:pPr>
      <w:r>
        <w:rPr>
          <w:rFonts w:ascii="Arial" w:cs="Arial" w:eastAsia="Arial" w:hAnsi="Arial"/>
          <w:b w:val="false"/>
          <w:bCs w:val="false"/>
          <w:i w:val="false"/>
          <w:iCs w:val="false"/>
          <w:color w:val="000000"/>
          <w:sz w:val="20"/>
          <w:szCs w:val="20"/>
        </w:rPr>
        <w:t xml:space="preserve">• Fix Table 11 labels: rename 'Fixed 4s' → 'Fixed 5s' (matches CSV); delete or regenerate 'Fixed 6s' row. Effort: 5 minutes.</w:t>
      </w:r>
    </w:p>
    <w:p>
      <w:pPr>
        <w:spacing w:after="40" w:before="0"/>
      </w:pPr>
      <w:r>
        <w:rPr>
          <w:rFonts w:ascii="Arial" w:cs="Arial" w:eastAsia="Arial" w:hAnsi="Arial"/>
          <w:b w:val="false"/>
          <w:bCs w:val="false"/>
          <w:i w:val="false"/>
          <w:iCs w:val="false"/>
          <w:color w:val="000000"/>
          <w:sz w:val="20"/>
          <w:szCs w:val="20"/>
        </w:rPr>
        <w:t xml:space="preserve">• Fix Table 1 metadata: epicentral distance range (5–560 km → 0.7–299.9 km or verify gb3 coverage); median distance (109 → 122 km); event count (336 → 338). Effort: 30 minutes.</w:t>
      </w:r>
    </w:p>
    <w:p>
      <w:pPr>
        <w:spacing w:after="40" w:before="0"/>
      </w:pPr>
      <w:r>
        <w:rPr>
          <w:rFonts w:ascii="Arial" w:cs="Arial" w:eastAsia="Arial" w:hAnsi="Arial"/>
          <w:b w:val="false"/>
          <w:bCs w:val="false"/>
          <w:i w:val="false"/>
          <w:iCs w:val="false"/>
          <w:color w:val="000000"/>
          <w:sz w:val="20"/>
          <w:szCs w:val="20"/>
        </w:rPr>
        <w:t xml:space="preserve">• Fix Section III.C intensity distribution: recompute on 25,058 with documented thresholds; document d1/gb3 composition. Effort: 2 hours.</w:t>
      </w:r>
    </w:p>
    <w:p>
      <w:pPr>
        <w:spacing w:after="40" w:before="0"/>
      </w:pPr>
      <w:r>
        <w:rPr>
          <w:rFonts w:ascii="Arial" w:cs="Arial" w:eastAsia="Arial" w:hAnsi="Arial"/>
          <w:b w:val="false"/>
          <w:bCs w:val="false"/>
          <w:i w:val="false"/>
          <w:iCs w:val="false"/>
          <w:color w:val="000000"/>
          <w:sz w:val="20"/>
          <w:szCs w:val="20"/>
        </w:rPr>
        <w:t xml:space="preserve">• Produce Stage 0 URPD metrics CSV: if the GBM classifier was trained, export its AUC, per-threshold precision/recall/FAR as stage0_metrics.csv. Effort: 0.5–2 days.</w:t>
      </w:r>
    </w:p>
    <w:p>
      <w:pPr>
        <w:spacing w:after="40" w:before="0"/>
      </w:pPr>
      <w:r>
        <w:rPr>
          <w:rFonts w:ascii="Arial" w:cs="Arial" w:eastAsia="Arial" w:hAnsi="Arial"/>
          <w:b w:val="false"/>
          <w:bCs w:val="false"/>
          <w:i w:val="false"/>
          <w:iCs w:val="false"/>
          <w:color w:val="000000"/>
          <w:sz w:val="20"/>
          <w:szCs w:val="20"/>
        </w:rPr>
        <w:t xml:space="preserve">• Produce Stage 1 classifier metrics CSV: confusion matrix + per-class precision/recall/F1 as stage1_metrics.csv. Effort: 0.5–2 days.</w:t>
      </w:r>
    </w:p>
    <w:p>
      <w:pPr>
        <w:spacing w:after="40" w:before="0"/>
      </w:pPr>
      <w:r>
        <w:rPr>
          <w:rFonts w:ascii="Arial" w:cs="Arial" w:eastAsia="Arial" w:hAnsi="Arial"/>
          <w:b w:val="false"/>
          <w:bCs w:val="false"/>
          <w:i w:val="false"/>
          <w:iCs w:val="false"/>
          <w:color w:val="000000"/>
          <w:sz w:val="20"/>
          <w:szCs w:val="20"/>
        </w:rPr>
        <w:t xml:space="preserve">• Produce Stage 1.5 distance regressor CSV: oracle/operational R² per C0–C4 variant. Effort: 0.5–2 days.</w:t>
      </w:r>
    </w:p>
    <w:p>
      <w:pPr>
        <w:spacing w:after="40" w:before="0"/>
      </w:pPr>
      <w:r>
        <w:rPr>
          <w:rFonts w:ascii="Arial" w:cs="Arial" w:eastAsia="Arial" w:hAnsi="Arial"/>
          <w:b w:val="false"/>
          <w:bCs w:val="false"/>
          <w:i w:val="false"/>
          <w:iCs w:val="false"/>
          <w:color w:val="000000"/>
          <w:sz w:val="20"/>
          <w:szCs w:val="20"/>
        </w:rPr>
        <w:t xml:space="preserve">• Produce sigma decomposition CSV: run Al Atik framework on OOF residuals from the 103-period run, export τ, φ, σ_total, within-factor ± per period. Effort: 1 day.</w:t>
      </w:r>
    </w:p>
    <w:p>
      <w:pPr>
        <w:spacing w:after="40" w:before="0"/>
      </w:pPr>
      <w:r>
        <w:rPr>
          <w:rFonts w:ascii="Arial" w:cs="Arial" w:eastAsia="Arial" w:hAnsi="Arial"/>
          <w:b w:val="false"/>
          <w:bCs w:val="false"/>
          <w:i w:val="false"/>
          <w:iCs w:val="false"/>
          <w:color w:val="000000"/>
          <w:sz w:val="20"/>
          <w:szCs w:val="20"/>
        </w:rPr>
        <w:t xml:space="preserve">• Re-run Full-Wave (~341 s) and Total MiniSEED (~430 s) with retained per-period CSVs — or drop Evidence B (ceiling claims) from the manuscript. Effort: 1–2 days train time.</w:t>
      </w:r>
    </w:p>
    <w:p>
      <w:pPr>
        <w:spacing w:after="40" w:before="0"/>
      </w:pPr>
      <w:r>
        <w:rPr>
          <w:rFonts w:ascii="Arial" w:cs="Arial" w:eastAsia="Arial" w:hAnsi="Arial"/>
          <w:b w:val="false"/>
          <w:bCs w:val="false"/>
          <w:i w:val="false"/>
          <w:iCs w:val="false"/>
          <w:color w:val="000000"/>
          <w:sz w:val="20"/>
          <w:szCs w:val="20"/>
        </w:rPr>
        <w:t xml:space="preserve">• Produce end-to-end IDA-PTW Operational metrics CSV: currently R² = 0.7309 has no source. Either regenerate with Stage 1 routing baked in or replace with Stage-2-oracle numbers consistently. Effort: 1 day.</w:t>
      </w:r>
    </w:p>
    <w:p>
      <w:pPr>
        <w:pStyle w:val="Heading3"/>
        <w:spacing w:after="60" w:before="160"/>
      </w:pPr>
      <w:r>
        <w:rPr>
          <w:rFonts w:ascii="Arial" w:cs="Arial" w:eastAsia="Arial" w:hAnsi="Arial"/>
          <w:b/>
          <w:bCs/>
          <w:color w:val="2E75B6"/>
          <w:sz w:val="20"/>
          <w:szCs w:val="20"/>
        </w:rPr>
        <w:t xml:space="preserve">🟠 MAJOR — should address before submission</w:t>
      </w:r>
    </w:p>
    <w:p>
      <w:pPr>
        <w:spacing w:after="40" w:before="0"/>
      </w:pPr>
      <w:r>
        <w:rPr>
          <w:rFonts w:ascii="Arial" w:cs="Arial" w:eastAsia="Arial" w:hAnsi="Arial"/>
          <w:b w:val="false"/>
          <w:bCs w:val="false"/>
          <w:i w:val="false"/>
          <w:iCs w:val="false"/>
          <w:color w:val="000000"/>
          <w:sz w:val="20"/>
          <w:szCs w:val="20"/>
        </w:rPr>
        <w:t xml:space="preserve">• Audit intensity_correlation_metrics.csv: sum = 28,266 ≠ 25,058. Investigate whether traces are double-counted across bins. Effort: 2 hours.</w:t>
      </w:r>
    </w:p>
    <w:p>
      <w:pPr>
        <w:spacing w:after="40" w:before="0"/>
      </w:pPr>
      <w:r>
        <w:rPr>
          <w:rFonts w:ascii="Arial" w:cs="Arial" w:eastAsia="Arial" w:hAnsi="Arial"/>
          <w:b w:val="false"/>
          <w:bCs w:val="false"/>
          <w:i w:val="false"/>
          <w:iCs w:val="false"/>
          <w:color w:val="000000"/>
          <w:sz w:val="20"/>
          <w:szCs w:val="20"/>
        </w:rPr>
        <w:t xml:space="preserve">• Resolve Table 9 PTW distribution N: 24,027 + 14,452 + 26 = 38,505 ≠ 25,058. Copy-paste error suspected. Effort: 30 minutes.</w:t>
      </w:r>
    </w:p>
    <w:p>
      <w:pPr>
        <w:spacing w:after="40" w:before="0"/>
      </w:pPr>
      <w:r>
        <w:rPr>
          <w:rFonts w:ascii="Arial" w:cs="Arial" w:eastAsia="Arial" w:hAnsi="Arial"/>
          <w:b w:val="false"/>
          <w:bCs w:val="false"/>
          <w:i w:val="false"/>
          <w:iCs w:val="false"/>
          <w:color w:val="000000"/>
          <w:sz w:val="20"/>
          <w:szCs w:val="20"/>
        </w:rPr>
        <w:t xml:space="preserve">• Document the d1/gb3 dataset split in Section III.A. Effort: 1 hour.</w:t>
      </w:r>
    </w:p>
    <w:p>
      <w:pPr>
        <w:spacing w:after="40" w:before="0"/>
      </w:pPr>
      <w:r>
        <w:rPr>
          <w:rFonts w:ascii="Arial" w:cs="Arial" w:eastAsia="Arial" w:hAnsi="Arial"/>
          <w:b w:val="false"/>
          <w:bCs w:val="false"/>
          <w:i w:val="false"/>
          <w:iCs w:val="false"/>
          <w:color w:val="000000"/>
          <w:sz w:val="20"/>
          <w:szCs w:val="20"/>
        </w:rPr>
        <w:t xml:space="preserve">• Add a PROVENANCE.md to reports/ mapping every CSV → producing script + hyperparams + run date. Effort: 2 hours.</w:t>
      </w:r>
    </w:p>
    <w:p>
      <w:pPr>
        <w:spacing w:after="40" w:before="0"/>
      </w:pPr>
      <w:r>
        <w:rPr>
          <w:rFonts w:ascii="Arial" w:cs="Arial" w:eastAsia="Arial" w:hAnsi="Arial"/>
          <w:b w:val="false"/>
          <w:bCs w:val="false"/>
          <w:i w:val="false"/>
          <w:iCs w:val="false"/>
          <w:color w:val="000000"/>
          <w:sz w:val="20"/>
          <w:szCs w:val="20"/>
        </w:rPr>
        <w:t xml:space="preserve">• Decide authoritative IDA-PTW paradigm: Stage-2-oracle (R²≈0.88) OR end-to-end operational (R²≈0.73). Use ONE consistently across abstract, tables, conclusion. Effort: 1 hour editorial review.</w:t>
      </w:r>
    </w:p>
    <w:p>
      <w:pPr>
        <w:pStyle w:val="Heading3"/>
        <w:spacing w:after="60" w:before="160"/>
      </w:pPr>
      <w:r>
        <w:rPr>
          <w:rFonts w:ascii="Arial" w:cs="Arial" w:eastAsia="Arial" w:hAnsi="Arial"/>
          <w:b/>
          <w:bCs/>
          <w:color w:val="2E75B6"/>
          <w:sz w:val="20"/>
          <w:szCs w:val="20"/>
        </w:rPr>
        <w:t xml:space="preserve">🟡 MINOR — quality improvements</w:t>
      </w:r>
    </w:p>
    <w:p>
      <w:pPr>
        <w:spacing w:after="40" w:before="0"/>
      </w:pPr>
      <w:r>
        <w:rPr>
          <w:rFonts w:ascii="Arial" w:cs="Arial" w:eastAsia="Arial" w:hAnsi="Arial"/>
          <w:b w:val="false"/>
          <w:bCs w:val="false"/>
          <w:i w:val="false"/>
          <w:iCs w:val="false"/>
          <w:color w:val="000000"/>
          <w:sz w:val="20"/>
          <w:szCs w:val="20"/>
        </w:rPr>
        <w:t xml:space="preserve">• Either implement Feature Dichotomy (feature_weights in XGBoost) or remove the claim from IV.E + Table 10.</w:t>
      </w:r>
    </w:p>
    <w:p>
      <w:pPr>
        <w:spacing w:after="40" w:before="0"/>
      </w:pPr>
      <w:r>
        <w:rPr>
          <w:rFonts w:ascii="Arial" w:cs="Arial" w:eastAsia="Arial" w:hAnsi="Arial"/>
          <w:b w:val="false"/>
          <w:bCs w:val="false"/>
          <w:i w:val="false"/>
          <w:iCs w:val="false"/>
          <w:color w:val="000000"/>
          <w:sz w:val="20"/>
          <w:szCs w:val="20"/>
        </w:rPr>
        <w:t xml:space="preserve">• Store Wilcoxon p-values from saturation test (currently cited as p&lt;0.001 without CSV).</w:t>
      </w:r>
    </w:p>
    <w:p>
      <w:pPr>
        <w:spacing w:after="40" w:before="0"/>
      </w:pPr>
      <w:r>
        <w:rPr>
          <w:rFonts w:ascii="Arial" w:cs="Arial" w:eastAsia="Arial" w:hAnsi="Arial"/>
          <w:b w:val="false"/>
          <w:bCs w:val="false"/>
          <w:i w:val="false"/>
          <w:iCs w:val="false"/>
          <w:color w:val="000000"/>
          <w:sz w:val="20"/>
          <w:szCs w:val="20"/>
        </w:rPr>
        <w:t xml:space="preserve">• Unify decimal separator: manuscript uses '.' but Indonesian submission might expect ','; confirm IEEE template.</w:t>
      </w:r>
    </w:p>
    <w:p>
      <w:pPr>
        <w:pStyle w:val="Heading2"/>
        <w:spacing w:after="100" w:before="240"/>
      </w:pPr>
      <w:r>
        <w:rPr>
          <w:rFonts w:ascii="Arial" w:cs="Arial" w:eastAsia="Arial" w:hAnsi="Arial"/>
          <w:b/>
          <w:bCs/>
          <w:color w:val="1F3864"/>
          <w:sz w:val="24"/>
          <w:szCs w:val="24"/>
        </w:rPr>
        <w:t xml:space="preserve">6. Sections Ready to Submit AS-IS</w:t>
      </w:r>
    </w:p>
    <w:p>
      <w:pPr>
        <w:spacing w:after="60" w:before="0"/>
      </w:pPr>
      <w:r>
        <w:rPr>
          <w:rFonts w:ascii="Arial" w:cs="Arial" w:eastAsia="Arial" w:hAnsi="Arial"/>
          <w:b w:val="false"/>
          <w:bCs w:val="false"/>
          <w:i w:val="false"/>
          <w:iCs w:val="false"/>
          <w:color w:val="000000"/>
          <w:sz w:val="20"/>
          <w:szCs w:val="20"/>
        </w:rPr>
        <w:t xml:space="preserve">The following manuscript sections are fully defensible from the repository data and require no changes:</w:t>
      </w:r>
    </w:p>
    <w:p>
      <w:pPr>
        <w:spacing w:after="40" w:before="0"/>
      </w:pPr>
      <w:r>
        <w:rPr>
          <w:rFonts w:ascii="Arial" w:cs="Arial" w:eastAsia="Arial" w:hAnsi="Arial"/>
          <w:b w:val="false"/>
          <w:bCs w:val="false"/>
          <w:i w:val="false"/>
          <w:iCs w:val="false"/>
          <w:color w:val="000000"/>
          <w:sz w:val="20"/>
          <w:szCs w:val="20"/>
        </w:rPr>
        <w:t xml:space="preserve">• Section V.C / Table 13 — Magnitude saturation test (6 values × N=1,204 match CSV exactly; minor N verification needed).</w:t>
      </w:r>
    </w:p>
    <w:p>
      <w:pPr>
        <w:spacing w:after="40" w:before="0"/>
      </w:pPr>
      <w:r>
        <w:rPr>
          <w:rFonts w:ascii="Arial" w:cs="Arial" w:eastAsia="Arial" w:hAnsi="Arial"/>
          <w:b w:val="false"/>
          <w:bCs w:val="false"/>
          <w:i w:val="false"/>
          <w:iCs w:val="false"/>
          <w:color w:val="000000"/>
          <w:sz w:val="20"/>
          <w:szCs w:val="20"/>
        </w:rPr>
        <w:t xml:space="preserve">• Section V.D / Table 14 — P-arrival sensitivity (21 values × 7 shifts × 3 periods + averages — all match CSV exactly).</w:t>
      </w:r>
    </w:p>
    <w:p>
      <w:pPr>
        <w:spacing w:after="40" w:before="0"/>
      </w:pPr>
      <w:r>
        <w:rPr>
          <w:rFonts w:ascii="Arial" w:cs="Arial" w:eastAsia="Arial" w:hAnsi="Arial"/>
          <w:b w:val="false"/>
          <w:bCs w:val="false"/>
          <w:i w:val="false"/>
          <w:iCs w:val="false"/>
          <w:color w:val="000000"/>
          <w:sz w:val="20"/>
          <w:szCs w:val="20"/>
        </w:rPr>
        <w:t xml:space="preserve">• Section V.A Table 11 rows for Fixed 2/3/8 s — match benchmark_results_fixed.csv exactly.</w:t>
      </w:r>
    </w:p>
    <w:p>
      <w:pPr>
        <w:spacing w:after="40" w:before="0"/>
      </w:pPr>
      <w:r>
        <w:rPr>
          <w:rFonts w:ascii="Arial" w:cs="Arial" w:eastAsia="Arial" w:hAnsi="Arial"/>
          <w:b w:val="false"/>
          <w:bCs w:val="false"/>
          <w:i w:val="false"/>
          <w:iCs w:val="false"/>
          <w:color w:val="000000"/>
          <w:sz w:val="20"/>
          <w:szCs w:val="20"/>
        </w:rPr>
        <w:t xml:space="preserve">• Section III.B Quality Control filter counts — no numeric issues found.</w:t>
      </w:r>
    </w:p>
    <w:p>
      <w:pPr>
        <w:spacing w:after="40" w:before="0"/>
      </w:pPr>
      <w:r>
        <w:rPr>
          <w:rFonts w:ascii="Arial" w:cs="Arial" w:eastAsia="Arial" w:hAnsi="Arial"/>
          <w:b w:val="false"/>
          <w:bCs w:val="false"/>
          <w:i w:val="false"/>
          <w:iCs w:val="false"/>
          <w:color w:val="000000"/>
          <w:sz w:val="20"/>
          <w:szCs w:val="20"/>
        </w:rPr>
        <w:t xml:space="preserve">• Reference list (89 citations) — complete and internally consistent; no duplicates, no missing.</w:t>
      </w:r>
    </w:p>
    <w:p>
      <w:pPr>
        <w:pStyle w:val="Heading2"/>
        <w:spacing w:after="100" w:before="240"/>
      </w:pPr>
      <w:r>
        <w:rPr>
          <w:rFonts w:ascii="Arial" w:cs="Arial" w:eastAsia="Arial" w:hAnsi="Arial"/>
          <w:b/>
          <w:bCs/>
          <w:color w:val="1F3864"/>
          <w:sz w:val="24"/>
          <w:szCs w:val="24"/>
        </w:rPr>
        <w:t xml:space="preserve">7. Recommended Sections to Restructure / Remove</w:t>
      </w:r>
    </w:p>
    <w:p>
      <w:pPr>
        <w:spacing w:after="40" w:before="0"/>
      </w:pPr>
      <w:r>
        <w:rPr>
          <w:rFonts w:ascii="Arial" w:cs="Arial" w:eastAsia="Arial" w:hAnsi="Arial"/>
          <w:b w:val="false"/>
          <w:bCs w:val="false"/>
          <w:i w:val="false"/>
          <w:iCs w:val="false"/>
          <w:color w:val="000000"/>
          <w:sz w:val="20"/>
          <w:szCs w:val="20"/>
        </w:rPr>
        <w:t xml:space="preserve">• Table 11 'Fixed 4' and 'Fixed 6' rows — rename or delete (see BLOCKER #1).</w:t>
      </w:r>
    </w:p>
    <w:p>
      <w:pPr>
        <w:spacing w:after="40" w:before="0"/>
      </w:pPr>
      <w:r>
        <w:rPr>
          <w:rFonts w:ascii="Arial" w:cs="Arial" w:eastAsia="Arial" w:hAnsi="Arial"/>
          <w:b w:val="false"/>
          <w:bCs w:val="false"/>
          <w:i w:val="false"/>
          <w:iCs w:val="false"/>
          <w:color w:val="000000"/>
          <w:sz w:val="20"/>
          <w:szCs w:val="20"/>
        </w:rPr>
        <w:t xml:space="preserve">• Table 11 'IDA-PTW Operational' and 'IDA-PTW Oracle' rows — replace with Stage-2-oracle values from benchmark_results_ida.csv / spectral_r2_performance.csv until end-to-end CSV exists.</w:t>
      </w:r>
    </w:p>
    <w:p>
      <w:pPr>
        <w:spacing w:after="40" w:before="0"/>
      </w:pPr>
      <w:r>
        <w:rPr>
          <w:rFonts w:ascii="Arial" w:cs="Arial" w:eastAsia="Arial" w:hAnsi="Arial"/>
          <w:b w:val="false"/>
          <w:bCs w:val="false"/>
          <w:i w:val="false"/>
          <w:iCs w:val="false"/>
          <w:color w:val="000000"/>
          <w:sz w:val="20"/>
          <w:szCs w:val="20"/>
        </w:rPr>
        <w:t xml:space="preserve">• Table 12 (Ceiling Analysis) — either re-run Full-Wave + Total MiniSEED experiments or footnote rows as 'preliminary, reproducibility pending'.</w:t>
      </w:r>
    </w:p>
    <w:p>
      <w:pPr>
        <w:spacing w:after="40" w:before="0"/>
      </w:pPr>
      <w:r>
        <w:rPr>
          <w:rFonts w:ascii="Arial" w:cs="Arial" w:eastAsia="Arial" w:hAnsi="Arial"/>
          <w:b w:val="false"/>
          <w:bCs w:val="false"/>
          <w:i w:val="false"/>
          <w:iCs w:val="false"/>
          <w:color w:val="000000"/>
          <w:sz w:val="20"/>
          <w:szCs w:val="20"/>
        </w:rPr>
        <w:t xml:space="preserve">• Tables 4, 7, 8 (Stage 0/1/1.5) — either implement the subsystems and produce CSV, or trim to qualitative claims.</w:t>
      </w:r>
    </w:p>
    <w:p>
      <w:pPr>
        <w:spacing w:after="40" w:before="0"/>
      </w:pPr>
      <w:r>
        <w:rPr>
          <w:rFonts w:ascii="Arial" w:cs="Arial" w:eastAsia="Arial" w:hAnsi="Arial"/>
          <w:b w:val="false"/>
          <w:bCs w:val="false"/>
          <w:i w:val="false"/>
          <w:iCs w:val="false"/>
          <w:color w:val="000000"/>
          <w:sz w:val="20"/>
          <w:szCs w:val="20"/>
        </w:rPr>
        <w:t xml:space="preserve">• Table 15 (Sigma Decomposition) — produce CSV from actual OOF residuals, or drop Section V.E entirely.</w:t>
      </w:r>
    </w:p>
    <w:p>
      <w:pPr>
        <w:spacing w:after="40" w:before="0"/>
      </w:pPr>
      <w:r>
        <w:rPr>
          <w:rFonts w:ascii="Arial" w:cs="Arial" w:eastAsia="Arial" w:hAnsi="Arial"/>
          <w:b w:val="false"/>
          <w:bCs w:val="false"/>
          <w:i w:val="false"/>
          <w:iCs w:val="false"/>
          <w:color w:val="000000"/>
          <w:sz w:val="20"/>
          <w:szCs w:val="20"/>
        </w:rPr>
        <w:t xml:space="preserve">• Section III.C intensity class table — recompute on actual 25,058 data.</w:t>
      </w:r>
    </w:p>
    <w:p>
      <w:pPr>
        <w:pStyle w:val="Heading2"/>
        <w:spacing w:after="100" w:before="240"/>
      </w:pPr>
      <w:r>
        <w:rPr>
          <w:rFonts w:ascii="Arial" w:cs="Arial" w:eastAsia="Arial" w:hAnsi="Arial"/>
          <w:b/>
          <w:bCs/>
          <w:color w:val="1F3864"/>
          <w:sz w:val="24"/>
          <w:szCs w:val="24"/>
        </w:rPr>
        <w:t xml:space="preserve">8. Scope Note</w:t>
      </w:r>
    </w:p>
    <w:p>
      <w:pPr>
        <w:spacing w:after="100" w:before="0"/>
      </w:pPr>
      <w:r>
        <w:rPr>
          <w:rFonts w:ascii="Arial" w:cs="Arial" w:eastAsia="Arial" w:hAnsi="Arial"/>
          <w:b w:val="false"/>
          <w:bCs w:val="false"/>
          <w:i/>
          <w:iCs/>
          <w:color w:val="595959"/>
          <w:sz w:val="18"/>
          <w:szCs w:val="18"/>
        </w:rPr>
        <w:t xml:space="preserve">This report focuses on empirical / data-source validation. It does NOT assess: (a) the seismological soundness of the Feature Dichotomy hypothesis; (b) citation completeness beyond counting 89 refs; (c) figure aesthetic / IEEE template compliance; (d) literature gap novelty vs. the 5 stated contributions. Those dimensions require separate review by a seismology peer and/or IEEE editorial office.</w:t>
      </w:r>
    </w:p>
    <w:p>
      <w:pPr>
        <w:pStyle w:val="Heading2"/>
        <w:spacing w:after="100" w:before="240"/>
      </w:pPr>
      <w:r>
        <w:rPr>
          <w:rFonts w:ascii="Arial" w:cs="Arial" w:eastAsia="Arial" w:hAnsi="Arial"/>
          <w:b/>
          <w:bCs/>
          <w:color w:val="1F3864"/>
          <w:sz w:val="24"/>
          <w:szCs w:val="24"/>
        </w:rPr>
        <w:t xml:space="preserve">9. NEW — SIG-BMKG Intensity Threshold Discrepancy (Peer-Review Finding)</w:t>
      </w:r>
    </w:p>
    <w:p>
      <w:pPr>
        <w:spacing w:after="120" w:before="0"/>
      </w:pPr>
      <w:r>
        <w:rPr>
          <w:rFonts w:ascii="Arial" w:cs="Arial" w:eastAsia="Arial" w:hAnsi="Arial"/>
          <w:b w:val="false"/>
          <w:bCs w:val="false"/>
          <w:i w:val="false"/>
          <w:iCs w:val="false"/>
          <w:color w:val="000000"/>
          <w:sz w:val="20"/>
          <w:szCs w:val="20"/>
        </w:rPr>
        <w:t xml:space="preserve">A peer-review readiness check against the authoritative Indonesian Seismic Intensity Scale (SIG-BMKG) [refBMKG] and the underlying peer-reviewed GMICE literature (Wald et al. 1999 [refWald1999]; Worden et al. 2012 [refWorden2012]; Caprio et al. 2015 [refCaprio2015]) reveals that the thresholds currently used in Manuscript Section III.C are inconsistent with the published standards. This section documents the discrepancy and provides the corrected classification.</w:t>
      </w:r>
    </w:p>
    <w:p>
      <w:pPr>
        <w:pStyle w:val="Heading3"/>
        <w:spacing w:after="60" w:before="160"/>
      </w:pPr>
      <w:r>
        <w:rPr>
          <w:rFonts w:ascii="Arial" w:cs="Arial" w:eastAsia="Arial" w:hAnsi="Arial"/>
          <w:b/>
          <w:bCs/>
          <w:color w:val="2E75B6"/>
          <w:sz w:val="20"/>
          <w:szCs w:val="20"/>
        </w:rPr>
        <w:t xml:space="preserve">9.1 Authoritative SIG-BMKG Thresholds (peer-reviewed)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2200"/>
        <w:gridCol w:w="2200"/>
        <w:gridCol w:w="2000"/>
      </w:tblGrid>
      <w:tr>
        <w:trPr>
          <w:tblHeader/>
        </w:trPr>
        <w:tc>
          <w:tcPr>
            <w:tcW w:type="dxa" w:w="16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SIG-BMKG Level</w:t>
            </w:r>
          </w:p>
        </w:tc>
        <w:tc>
          <w:tcPr>
            <w:tcW w:type="dxa" w:w="14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MMI Equiv.</w:t>
            </w:r>
          </w:p>
        </w:tc>
        <w:tc>
          <w:tcPr>
            <w:tcW w:type="dxa" w:w="2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PGA Range (gal)</w:t>
            </w:r>
          </w:p>
        </w:tc>
        <w:tc>
          <w:tcPr>
            <w:tcW w:type="dxa" w:w="2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Description</w:t>
            </w:r>
          </w:p>
        </w:tc>
        <w:tc>
          <w:tcPr>
            <w:tcW w:type="dxa" w:w="20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Source</w:t>
            </w:r>
          </w:p>
        </w:tc>
      </w:tr>
      <w:tr>
        <w:tc>
          <w:tcPr>
            <w:tcW w:type="dxa" w:w="1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I</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I–II</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&lt; 2.9</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Not felt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Wald 1999; Worden 2012</w:t>
            </w:r>
          </w:p>
        </w:tc>
      </w:tr>
      <w:tr>
        <w:tc>
          <w:tcPr>
            <w:tcW w:type="dxa" w:w="1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II</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III–V</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2.9 – 88</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Felt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Wald 1999; Worden 2012</w:t>
            </w:r>
          </w:p>
        </w:tc>
      </w:tr>
      <w:tr>
        <w:tc>
          <w:tcPr>
            <w:tcW w:type="dxa" w:w="1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III</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VI</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89 – 167</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Slight damage</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Worden 2012; BMKG 2016</w:t>
            </w:r>
          </w:p>
        </w:tc>
      </w:tr>
      <w:tr>
        <w:tc>
          <w:tcPr>
            <w:tcW w:type="dxa" w:w="1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IV</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VII–VIII</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168 – 564</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Moderate damage</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Worden 2012; Wu 2003 (CWA)</w:t>
            </w:r>
          </w:p>
        </w:tc>
      </w:tr>
      <w:tr>
        <w:tc>
          <w:tcPr>
            <w:tcW w:type="dxa" w:w="1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V</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IX–XII</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 565</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Heavy damage</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Worden 2012; BMKG 2016</w:t>
            </w:r>
          </w:p>
        </w:tc>
      </w:tr>
    </w:tbl>
    <w:p>
      <w:pPr>
        <w:pStyle w:val="Heading3"/>
        <w:spacing w:after="60" w:before="160"/>
      </w:pPr>
      <w:r>
        <w:rPr>
          <w:rFonts w:ascii="Arial" w:cs="Arial" w:eastAsia="Arial" w:hAnsi="Arial"/>
          <w:b/>
          <w:bCs/>
          <w:color w:val="2E75B6"/>
          <w:sz w:val="20"/>
          <w:szCs w:val="20"/>
        </w:rPr>
        <w:t xml:space="preserve">9.2 Manuscript Thresholds vs SIG-BMKG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400"/>
        <w:gridCol w:w="2360"/>
      </w:tblGrid>
      <w:tr>
        <w:trPr>
          <w:tblHeader/>
        </w:trPr>
        <w:tc>
          <w:tcPr>
            <w:tcW w:type="dxa" w:w="2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Class</w:t>
            </w:r>
          </w:p>
        </w:tc>
        <w:tc>
          <w:tcPr>
            <w:tcW w:type="dxa" w:w="24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Manuscript III.C</w:t>
            </w:r>
          </w:p>
        </w:tc>
        <w:tc>
          <w:tcPr>
            <w:tcW w:type="dxa" w:w="24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SIG-BMKG Standard</w:t>
            </w:r>
          </w:p>
        </w:tc>
        <w:tc>
          <w:tcPr>
            <w:tcW w:type="dxa" w:w="236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Status</w:t>
            </w:r>
          </w:p>
        </w:tc>
      </w:tr>
      <w:tr>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Weak</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PGA &lt; 4 gal</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PGA &lt; 2.9 gal</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C0392B"/>
                <w:sz w:val="17"/>
                <w:szCs w:val="17"/>
              </w:rPr>
              <w:t xml:space="preserve">⚠ Threshold off — rename to match SIG-BMKG I</w:t>
            </w:r>
          </w:p>
        </w:tc>
      </w:tr>
      <w:tr>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Felt/Strong</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4 – 62 gal</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2.9 – 88 gal</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C0392B"/>
                <w:sz w:val="17"/>
                <w:szCs w:val="17"/>
              </w:rPr>
              <w:t xml:space="preserve">⚠ Both bounds wrong</w:t>
            </w:r>
          </w:p>
        </w:tc>
      </w:tr>
      <w:tr>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Damaging</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 62 gal</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 89 gal</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C0392B"/>
                <w:sz w:val="17"/>
                <w:szCs w:val="17"/>
              </w:rPr>
              <w:t xml:space="preserve">⚠ Non-standard "62" has no peer-reviewed origin</w:t>
            </w:r>
          </w:p>
        </w:tc>
      </w:tr>
      <w:tr>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Custom bins (intensity_correlation_metrics.csv)</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&lt;2.5/2.5-10/10-50/&gt;50</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SIG-BMKG I/II/III/IV/V</w:t>
            </w:r>
          </w:p>
        </w:tc>
        <w:tc>
          <w:tcPr>
            <w:tcW w:type="dxa" w:w="23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C0392B"/>
                <w:sz w:val="17"/>
                <w:szCs w:val="17"/>
              </w:rPr>
              <w:t xml:space="preserve">🔴 Completely non-standard scheme</w:t>
            </w:r>
          </w:p>
        </w:tc>
      </w:tr>
    </w:tbl>
    <w:p>
      <w:pPr>
        <w:pStyle w:val="Heading3"/>
        <w:spacing w:after="60" w:before="160"/>
      </w:pPr>
      <w:r>
        <w:rPr>
          <w:rFonts w:ascii="Arial" w:cs="Arial" w:eastAsia="Arial" w:hAnsi="Arial"/>
          <w:b/>
          <w:bCs/>
          <w:color w:val="2E75B6"/>
          <w:sz w:val="20"/>
          <w:szCs w:val="20"/>
        </w:rPr>
        <w:t xml:space="preserve">9.3 CRITICAL — Actual Intensity Distribution on 25,058 Traces</w:t>
      </w:r>
    </w:p>
    <w:p>
      <w:pPr>
        <w:spacing w:after="80" w:before="0"/>
      </w:pPr>
      <w:r>
        <w:rPr>
          <w:rFonts w:ascii="Arial" w:cs="Arial" w:eastAsia="Arial" w:hAnsi="Arial"/>
          <w:b w:val="false"/>
          <w:bCs w:val="false"/>
          <w:i w:val="false"/>
          <w:iCs w:val="false"/>
          <w:color w:val="000000"/>
          <w:sz w:val="20"/>
          <w:szCs w:val="20"/>
        </w:rPr>
        <w:t xml:space="preserve">Applying SIG-BMKG thresholds to the 25,058-trace dataset (authoritative PGA from metadata_recalibrated.csv, independently verified):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2200"/>
        <w:gridCol w:w="2200"/>
        <w:gridCol w:w="2000"/>
      </w:tblGrid>
      <w:tr>
        <w:trPr>
          <w:tblHeader/>
        </w:trPr>
        <w:tc>
          <w:tcPr>
            <w:tcW w:type="dxa" w:w="16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SIG-BMKG Level</w:t>
            </w:r>
          </w:p>
        </w:tc>
        <w:tc>
          <w:tcPr>
            <w:tcW w:type="dxa" w:w="14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MMI</w:t>
            </w:r>
          </w:p>
        </w:tc>
        <w:tc>
          <w:tcPr>
            <w:tcW w:type="dxa" w:w="2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PGA Range (gal)</w:t>
            </w:r>
          </w:p>
        </w:tc>
        <w:tc>
          <w:tcPr>
            <w:tcW w:type="dxa" w:w="22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Description</w:t>
            </w:r>
          </w:p>
        </w:tc>
        <w:tc>
          <w:tcPr>
            <w:tcW w:type="dxa" w:w="20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 / %</w:t>
            </w:r>
          </w:p>
        </w:tc>
      </w:tr>
      <w:tr>
        <w:tc>
          <w:tcPr>
            <w:tcW w:type="dxa" w:w="1600"/>
            <w:tcBorders>
              <w:top w:val="single" w:color="7F7F7F" w:sz="4"/>
              <w:left w:val="single" w:color="7F7F7F" w:sz="4"/>
              <w:bottom w:val="single" w:color="7F7F7F" w:sz="4"/>
              <w:right w:val="single" w:color="7F7F7F" w:sz="4"/>
            </w:tcBorders>
            <w:shd w:fill="E8F1FB" w:val="clear"/>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I</w:t>
            </w:r>
          </w:p>
        </w:tc>
        <w:tc>
          <w:tcPr>
            <w:tcW w:type="dxa" w:w="1400"/>
            <w:tcBorders>
              <w:top w:val="single" w:color="7F7F7F" w:sz="4"/>
              <w:left w:val="single" w:color="7F7F7F" w:sz="4"/>
              <w:bottom w:val="single" w:color="7F7F7F" w:sz="4"/>
              <w:right w:val="single" w:color="7F7F7F" w:sz="4"/>
            </w:tcBorders>
            <w:shd w:fill="E8F1FB" w:val="clear"/>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I–II</w:t>
            </w:r>
          </w:p>
        </w:tc>
        <w:tc>
          <w:tcPr>
            <w:tcW w:type="dxa" w:w="2200"/>
            <w:tcBorders>
              <w:top w:val="single" w:color="7F7F7F" w:sz="4"/>
              <w:left w:val="single" w:color="7F7F7F" w:sz="4"/>
              <w:bottom w:val="single" w:color="7F7F7F" w:sz="4"/>
              <w:right w:val="single" w:color="7F7F7F" w:sz="4"/>
            </w:tcBorders>
            <w:shd w:fill="E8F1FB" w:val="clear"/>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&lt; 2.9</w:t>
            </w:r>
          </w:p>
        </w:tc>
        <w:tc>
          <w:tcPr>
            <w:tcW w:type="dxa" w:w="2200"/>
            <w:tcBorders>
              <w:top w:val="single" w:color="7F7F7F" w:sz="4"/>
              <w:left w:val="single" w:color="7F7F7F" w:sz="4"/>
              <w:bottom w:val="single" w:color="7F7F7F" w:sz="4"/>
              <w:right w:val="single" w:color="7F7F7F" w:sz="4"/>
            </w:tcBorders>
            <w:shd w:fill="E8F1FB" w:val="clear"/>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Not felt</w:t>
            </w:r>
          </w:p>
        </w:tc>
        <w:tc>
          <w:tcPr>
            <w:tcW w:type="dxa" w:w="2000"/>
            <w:tcBorders>
              <w:top w:val="single" w:color="7F7F7F" w:sz="4"/>
              <w:left w:val="single" w:color="7F7F7F" w:sz="4"/>
              <w:bottom w:val="single" w:color="7F7F7F" w:sz="4"/>
              <w:right w:val="single" w:color="7F7F7F" w:sz="4"/>
            </w:tcBorders>
            <w:shd w:fill="E8F1FB" w:val="clear"/>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25,055 (99.99%)</w:t>
            </w:r>
          </w:p>
        </w:tc>
      </w:tr>
      <w:tr>
        <w:tc>
          <w:tcPr>
            <w:tcW w:type="dxa" w:w="1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II</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III–V</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2.9 – 88</w:t>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Felt</w:t>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3 (0.01%)</w:t>
            </w:r>
          </w:p>
        </w:tc>
      </w:tr>
      <w:tr>
        <w:tc>
          <w:tcPr>
            <w:tcW w:type="dxa" w:w="1600"/>
            <w:tcBorders>
              <w:top w:val="single" w:color="7F7F7F" w:sz="4"/>
              <w:left w:val="single" w:color="7F7F7F" w:sz="4"/>
              <w:bottom w:val="single" w:color="7F7F7F" w:sz="4"/>
              <w:right w:val="single" w:color="7F7F7F" w:sz="4"/>
            </w:tcBorders>
            <w:shd w:fill="FBE9E4" w:val="clear"/>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III+</w:t>
            </w:r>
          </w:p>
        </w:tc>
        <w:tc>
          <w:tcPr>
            <w:tcW w:type="dxa" w:w="1400"/>
            <w:tcBorders>
              <w:top w:val="single" w:color="7F7F7F" w:sz="4"/>
              <w:left w:val="single" w:color="7F7F7F" w:sz="4"/>
              <w:bottom w:val="single" w:color="7F7F7F" w:sz="4"/>
              <w:right w:val="single" w:color="7F7F7F" w:sz="4"/>
            </w:tcBorders>
            <w:shd w:fill="FBE9E4" w:val="clear"/>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VI+</w:t>
            </w:r>
          </w:p>
        </w:tc>
        <w:tc>
          <w:tcPr>
            <w:tcW w:type="dxa" w:w="2200"/>
            <w:tcBorders>
              <w:top w:val="single" w:color="7F7F7F" w:sz="4"/>
              <w:left w:val="single" w:color="7F7F7F" w:sz="4"/>
              <w:bottom w:val="single" w:color="7F7F7F" w:sz="4"/>
              <w:right w:val="single" w:color="7F7F7F" w:sz="4"/>
            </w:tcBorders>
            <w:shd w:fill="FBE9E4" w:val="clear"/>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 89</w:t>
            </w:r>
          </w:p>
        </w:tc>
        <w:tc>
          <w:tcPr>
            <w:tcW w:type="dxa" w:w="2200"/>
            <w:tcBorders>
              <w:top w:val="single" w:color="7F7F7F" w:sz="4"/>
              <w:left w:val="single" w:color="7F7F7F" w:sz="4"/>
              <w:bottom w:val="single" w:color="7F7F7F" w:sz="4"/>
              <w:right w:val="single" w:color="7F7F7F" w:sz="4"/>
            </w:tcBorders>
            <w:shd w:fill="FBE9E4" w:val="clear"/>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Damaging</w:t>
            </w:r>
          </w:p>
        </w:tc>
        <w:tc>
          <w:tcPr>
            <w:tcW w:type="dxa" w:w="2000"/>
            <w:tcBorders>
              <w:top w:val="single" w:color="7F7F7F" w:sz="4"/>
              <w:left w:val="single" w:color="7F7F7F" w:sz="4"/>
              <w:bottom w:val="single" w:color="7F7F7F" w:sz="4"/>
              <w:right w:val="single" w:color="7F7F7F" w:sz="4"/>
            </w:tcBorders>
            <w:shd w:fill="FBE9E4" w:val="clear"/>
            <w:tcMar>
              <w:top w:type="dxa" w:w="70"/>
              <w:left w:type="dxa" w:w="100"/>
              <w:bottom w:type="dxa" w:w="70"/>
              <w:right w:type="dxa" w:w="100"/>
            </w:tcMar>
            <w:vAlign w:val="center"/>
          </w:tcPr>
          <w:p>
            <w:pPr>
              <w:jc w:val="center"/>
            </w:pPr>
            <w:r>
              <w:rPr>
                <w:rFonts w:ascii="Arial" w:cs="Arial" w:eastAsia="Arial" w:hAnsi="Arial"/>
                <w:b/>
                <w:bCs/>
                <w:color w:val="C0392B"/>
                <w:sz w:val="17"/>
                <w:szCs w:val="17"/>
              </w:rPr>
              <w:t xml:space="preserve">0 (0.00%)</w:t>
            </w:r>
          </w:p>
        </w:tc>
      </w:tr>
      <w:tr>
        <w:tc>
          <w:tcPr>
            <w:tcW w:type="dxa" w:w="1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TOTAL</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22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val="false"/>
                <w:bCs w:val="false"/>
                <w:color w:val="000000"/>
                <w:sz w:val="17"/>
                <w:szCs w:val="17"/>
              </w:rPr>
              <w:t xml:space="preserve"/>
            </w:r>
          </w:p>
        </w:tc>
        <w:tc>
          <w:tcPr>
            <w:tcW w:type="dxa" w:w="20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bCs/>
                <w:color w:val="000000"/>
                <w:sz w:val="17"/>
                <w:szCs w:val="17"/>
              </w:rPr>
              <w:t xml:space="preserve">25,058 (100%)</w:t>
            </w:r>
          </w:p>
        </w:tc>
      </w:tr>
    </w:tbl>
    <w:p>
      <w:pPr>
        <w:spacing w:after="140" w:before="0"/>
      </w:pPr>
      <w:r>
        <w:rPr>
          <w:rFonts w:ascii="Arial" w:cs="Arial" w:eastAsia="Arial" w:hAnsi="Arial"/>
          <w:b/>
          <w:bCs/>
          <w:i w:val="false"/>
          <w:iCs w:val="false"/>
          <w:color w:val="C0392B"/>
          <w:sz w:val="20"/>
          <w:szCs w:val="20"/>
        </w:rPr>
        <w:t xml:space="preserve">This is a critical finding: by the authoritative SIG-BMKG scale, the 25,058-trace corpus contains ZERO Damaging events. The manuscript's claim of "~101 Damaging traces (0.3%)" and the routing narrative around severe class imbalance are therefore not supported by the actual PGA distribution. This does not invalidate the core EEWS methodology — low-PGA records still support spectral prediction — but it does require re-framing Section III.C and the problem formulation.</w:t>
      </w:r>
    </w:p>
    <w:p>
      <w:pPr>
        <w:pStyle w:val="Heading3"/>
        <w:spacing w:after="60" w:before="160"/>
      </w:pPr>
      <w:r>
        <w:rPr>
          <w:rFonts w:ascii="Arial" w:cs="Arial" w:eastAsia="Arial" w:hAnsi="Arial"/>
          <w:b/>
          <w:bCs/>
          <w:color w:val="2E75B6"/>
          <w:sz w:val="20"/>
          <w:szCs w:val="20"/>
        </w:rPr>
        <w:t xml:space="preserve">9.4 Recommended Operational Intensity-Routing Classes (percentile-based)</w:t>
      </w:r>
    </w:p>
    <w:p>
      <w:pPr>
        <w:spacing w:after="80" w:before="0"/>
      </w:pPr>
      <w:r>
        <w:rPr>
          <w:rFonts w:ascii="Arial" w:cs="Arial" w:eastAsia="Arial" w:hAnsi="Arial"/>
          <w:b w:val="false"/>
          <w:bCs w:val="false"/>
          <w:i w:val="false"/>
          <w:iCs w:val="false"/>
          <w:color w:val="000000"/>
          <w:sz w:val="20"/>
          <w:szCs w:val="20"/>
        </w:rPr>
        <w:t xml:space="preserve">Since SIG-BMKG absolute thresholds produce a near-degenerate class distribution, we recommend defining OPERATIONAL intensity-routing classes based on PGA percentiles of the actual dataset. This is explicitly distinguished from SIG-BMKG (descriptive) classification: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1400"/>
        <w:gridCol w:w="1100"/>
        <w:gridCol w:w="1860"/>
      </w:tblGrid>
      <w:tr>
        <w:trPr>
          <w:tblHeader/>
        </w:trPr>
        <w:tc>
          <w:tcPr>
            <w:tcW w:type="dxa" w:w="26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Operational Class</w:t>
            </w:r>
          </w:p>
        </w:tc>
        <w:tc>
          <w:tcPr>
            <w:tcW w:type="dxa" w:w="24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PGA Range (gal)</w:t>
            </w:r>
          </w:p>
        </w:tc>
        <w:tc>
          <w:tcPr>
            <w:tcW w:type="dxa" w:w="14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N traces</w:t>
            </w:r>
          </w:p>
        </w:tc>
        <w:tc>
          <w:tcPr>
            <w:tcW w:type="dxa" w:w="110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w:t>
            </w:r>
          </w:p>
        </w:tc>
        <w:tc>
          <w:tcPr>
            <w:tcW w:type="dxa" w:w="1860"/>
            <w:tcBorders>
              <w:top w:val="single" w:color="000000" w:sz="8"/>
              <w:left w:val="single" w:color="7F7F7F" w:sz="4"/>
              <w:bottom w:val="single" w:color="000000" w:sz="8"/>
              <w:right w:val="single" w:color="7F7F7F" w:sz="4"/>
            </w:tcBorders>
            <w:shd w:fill="1F3864" w:val="clear"/>
            <w:tcMar>
              <w:top w:type="dxa" w:w="70"/>
              <w:left w:type="dxa" w:w="100"/>
              <w:bottom w:type="dxa" w:w="70"/>
              <w:right w:type="dxa" w:w="100"/>
            </w:tcMar>
            <w:vAlign w:val="center"/>
          </w:tcPr>
          <w:p>
            <w:pPr>
              <w:jc w:val="center"/>
            </w:pPr>
            <w:r>
              <w:rPr>
                <w:rFonts w:ascii="Arial" w:cs="Arial" w:eastAsia="Arial" w:hAnsi="Arial"/>
                <w:b/>
                <w:bCs/>
                <w:color w:val="FFFFFF"/>
                <w:sz w:val="17"/>
                <w:szCs w:val="17"/>
              </w:rPr>
              <w:t xml:space="preserve">IDA-PTW Window</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Low-PGA (&lt; 50th pct)</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&lt; 0.0053</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12,529</w:t>
            </w:r>
          </w:p>
        </w:tc>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50.0%</w:t>
            </w:r>
          </w:p>
        </w:tc>
        <w:tc>
          <w:tcPr>
            <w:tcW w:type="dxa" w:w="18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3 s</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Mid-PGA (50th–95th)</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0.0053 – 0.0958</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11,275</w:t>
            </w:r>
          </w:p>
        </w:tc>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45.0%</w:t>
            </w:r>
          </w:p>
        </w:tc>
        <w:tc>
          <w:tcPr>
            <w:tcW w:type="dxa" w:w="18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5 s</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High-PGA (≥ 95th pct)</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 0.0958</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1,254</w:t>
            </w:r>
          </w:p>
        </w:tc>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5.0%</w:t>
            </w:r>
          </w:p>
        </w:tc>
        <w:tc>
          <w:tcPr>
            <w:tcW w:type="dxa" w:w="18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10 s</w:t>
            </w:r>
          </w:p>
        </w:tc>
      </w:tr>
      <w:tr>
        <w:tc>
          <w:tcPr>
            <w:tcW w:type="dxa" w:w="26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left"/>
            </w:pPr>
            <w:r>
              <w:rPr>
                <w:rFonts w:ascii="Arial" w:cs="Arial" w:eastAsia="Arial" w:hAnsi="Arial"/>
                <w:b/>
                <w:bCs/>
                <w:color w:val="000000"/>
                <w:sz w:val="17"/>
                <w:szCs w:val="17"/>
              </w:rPr>
              <w:t xml:space="preserve">Saturation subset (≥ 0.1)</w:t>
            </w:r>
          </w:p>
        </w:tc>
        <w:tc>
          <w:tcPr>
            <w:tcW w:type="dxa" w:w="2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PGA ≥ 0.1 gal</w:t>
            </w:r>
          </w:p>
        </w:tc>
        <w:tc>
          <w:tcPr>
            <w:tcW w:type="dxa" w:w="14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1,204</w:t>
            </w:r>
          </w:p>
        </w:tc>
        <w:tc>
          <w:tcPr>
            <w:tcW w:type="dxa" w:w="110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4.8%</w:t>
            </w:r>
          </w:p>
        </w:tc>
        <w:tc>
          <w:tcPr>
            <w:tcW w:type="dxa" w:w="1860"/>
            <w:tcBorders>
              <w:top w:val="single" w:color="7F7F7F" w:sz="4"/>
              <w:left w:val="single" w:color="7F7F7F" w:sz="4"/>
              <w:bottom w:val="single" w:color="7F7F7F" w:sz="4"/>
              <w:right w:val="single" w:color="7F7F7F" w:sz="4"/>
            </w:tcBorders>
            <w:tcMar>
              <w:top w:type="dxa" w:w="70"/>
              <w:left w:type="dxa" w:w="100"/>
              <w:bottom w:type="dxa" w:w="70"/>
              <w:right w:type="dxa" w:w="100"/>
            </w:tcMar>
            <w:vAlign w:val="center"/>
          </w:tcPr>
          <w:p>
            <w:pPr>
              <w:jc w:val="center"/>
            </w:pPr>
            <w:r>
              <w:rPr>
                <w:rFonts w:ascii="Arial" w:cs="Arial" w:eastAsia="Arial" w:hAnsi="Arial"/>
                <w:b w:val="false"/>
                <w:bCs w:val="false"/>
                <w:color w:val="000000"/>
                <w:sz w:val="17"/>
                <w:szCs w:val="17"/>
              </w:rPr>
              <w:t xml:space="preserve">(test subset, Table 13)</w:t>
            </w:r>
          </w:p>
        </w:tc>
      </w:tr>
    </w:tbl>
    <w:p>
      <w:pPr>
        <w:pStyle w:val="Heading3"/>
        <w:spacing w:after="60" w:before="160"/>
      </w:pPr>
      <w:r>
        <w:rPr>
          <w:rFonts w:ascii="Arial" w:cs="Arial" w:eastAsia="Arial" w:hAnsi="Arial"/>
          <w:b/>
          <w:bCs/>
          <w:color w:val="2E75B6"/>
          <w:sz w:val="20"/>
          <w:szCs w:val="20"/>
        </w:rPr>
        <w:t xml:space="preserve">9.5 Recommended Peer-Reviewed References (new additions)</w:t>
      </w:r>
    </w:p>
    <w:p>
      <w:pPr>
        <w:spacing w:after="40" w:before="0"/>
      </w:pPr>
      <w:r>
        <w:rPr>
          <w:rFonts w:ascii="Arial" w:cs="Arial" w:eastAsia="Arial" w:hAnsi="Arial"/>
          <w:b w:val="false"/>
          <w:bCs w:val="false"/>
          <w:i w:val="false"/>
          <w:iCs w:val="false"/>
          <w:color w:val="000000"/>
          <w:sz w:val="20"/>
          <w:szCs w:val="20"/>
        </w:rPr>
        <w:t xml:space="preserve">• BMKG (2016) — Official SIG-BMKG standard. Cite via BMKG website + Geomagz 2018 editorial.</w:t>
      </w:r>
    </w:p>
    <w:p>
      <w:pPr>
        <w:spacing w:after="40" w:before="0"/>
      </w:pPr>
      <w:r>
        <w:rPr>
          <w:rFonts w:ascii="Arial" w:cs="Arial" w:eastAsia="Arial" w:hAnsi="Arial"/>
          <w:b w:val="false"/>
          <w:bCs w:val="false"/>
          <w:i w:val="false"/>
          <w:iCs w:val="false"/>
          <w:color w:val="000000"/>
          <w:sz w:val="20"/>
          <w:szCs w:val="20"/>
        </w:rPr>
        <w:t xml:space="preserve">• Wald, Quitoriano, Heaton, Kanamori (1999) BSSA — foundational PGA/PGV/MMI relationship.</w:t>
      </w:r>
    </w:p>
    <w:p>
      <w:pPr>
        <w:spacing w:after="40" w:before="0"/>
      </w:pPr>
      <w:r>
        <w:rPr>
          <w:rFonts w:ascii="Arial" w:cs="Arial" w:eastAsia="Arial" w:hAnsi="Arial"/>
          <w:b w:val="false"/>
          <w:bCs w:val="false"/>
          <w:i w:val="false"/>
          <w:iCs w:val="false"/>
          <w:color w:val="000000"/>
          <w:sz w:val="20"/>
          <w:szCs w:val="20"/>
        </w:rPr>
        <w:t xml:space="preserve">• Worden, Gerstenberger, Rhoades, Wald (2012) BSSA — probabilistic GMICE; default in ShakeMap.</w:t>
      </w:r>
    </w:p>
    <w:p>
      <w:pPr>
        <w:spacing w:after="40" w:before="0"/>
      </w:pPr>
      <w:r>
        <w:rPr>
          <w:rFonts w:ascii="Arial" w:cs="Arial" w:eastAsia="Arial" w:hAnsi="Arial"/>
          <w:b w:val="false"/>
          <w:bCs w:val="false"/>
          <w:i w:val="false"/>
          <w:iCs w:val="false"/>
          <w:color w:val="000000"/>
          <w:sz w:val="20"/>
          <w:szCs w:val="20"/>
        </w:rPr>
        <w:t xml:space="preserve">• Caprio et al. (2015) BSSA — global GMICE with Indonesian data (Padang 2009).</w:t>
      </w:r>
    </w:p>
    <w:p>
      <w:pPr>
        <w:spacing w:after="40" w:before="0"/>
      </w:pPr>
      <w:r>
        <w:rPr>
          <w:rFonts w:ascii="Arial" w:cs="Arial" w:eastAsia="Arial" w:hAnsi="Arial"/>
          <w:b w:val="false"/>
          <w:bCs w:val="false"/>
          <w:i w:val="false"/>
          <w:iCs w:val="false"/>
          <w:color w:val="000000"/>
          <w:sz w:val="20"/>
          <w:szCs w:val="20"/>
        </w:rPr>
        <w:t xml:space="preserve">• Wu, Hsiao, Teng (2003) BSSA — CWA Taiwan intensity scale; damaging threshold ≈ 80 gal.</w:t>
      </w:r>
    </w:p>
    <w:p>
      <w:pPr>
        <w:spacing w:after="40" w:before="0"/>
      </w:pPr>
      <w:r>
        <w:rPr>
          <w:rFonts w:ascii="Arial" w:cs="Arial" w:eastAsia="Arial" w:hAnsi="Arial"/>
          <w:b w:val="false"/>
          <w:bCs w:val="false"/>
          <w:i w:val="false"/>
          <w:iCs w:val="false"/>
          <w:color w:val="000000"/>
          <w:sz w:val="20"/>
          <w:szCs w:val="20"/>
        </w:rPr>
        <w:t xml:space="preserve">• Wu &amp; Kanamori (2008) Sensors — EEWS operational τc/Pd damaging thresholds.</w:t>
      </w:r>
    </w:p>
    <w:p>
      <w:pPr>
        <w:spacing w:after="40" w:before="0"/>
      </w:pPr>
      <w:r>
        <w:rPr>
          <w:rFonts w:ascii="Arial" w:cs="Arial" w:eastAsia="Arial" w:hAnsi="Arial"/>
          <w:b w:val="false"/>
          <w:bCs w:val="false"/>
          <w:i w:val="false"/>
          <w:iCs w:val="false"/>
          <w:color w:val="000000"/>
          <w:sz w:val="20"/>
          <w:szCs w:val="20"/>
        </w:rPr>
        <w:t xml:space="preserve">• Hoshiba &amp; Aoki (2015) BSSA — numerical shake prediction; JMA intensity scale for EEWS.</w:t>
      </w:r>
    </w:p>
    <w:p>
      <w:pPr>
        <w:spacing w:after="40" w:before="0"/>
      </w:pPr>
      <w:r>
        <w:rPr>
          <w:rFonts w:ascii="Arial" w:cs="Arial" w:eastAsia="Arial" w:hAnsi="Arial"/>
          <w:b w:val="false"/>
          <w:bCs w:val="false"/>
          <w:i w:val="false"/>
          <w:iCs w:val="false"/>
          <w:color w:val="000000"/>
          <w:sz w:val="20"/>
          <w:szCs w:val="20"/>
        </w:rPr>
        <w:t xml:space="preserve">• Atkinson &amp; Kaka (2007) BSSA — GMICE alternative (CEUS/California).</w:t>
      </w:r>
    </w:p>
    <w:p>
      <w:pPr>
        <w:pStyle w:val="Heading3"/>
        <w:spacing w:after="60" w:before="160"/>
      </w:pPr>
      <w:r>
        <w:rPr>
          <w:rFonts w:ascii="Arial" w:cs="Arial" w:eastAsia="Arial" w:hAnsi="Arial"/>
          <w:b/>
          <w:bCs/>
          <w:color w:val="2E75B6"/>
          <w:sz w:val="20"/>
          <w:szCs w:val="20"/>
        </w:rPr>
        <w:t xml:space="preserve">9.6 Ready-to-Paste Revised Paragraphs</w:t>
      </w:r>
    </w:p>
    <w:p>
      <w:pPr>
        <w:spacing w:after="140" w:before="0"/>
      </w:pPr>
      <w:r>
        <w:rPr>
          <w:rFonts w:ascii="Arial" w:cs="Arial" w:eastAsia="Arial" w:hAnsi="Arial"/>
          <w:b w:val="false"/>
          <w:bCs w:val="false"/>
          <w:i/>
          <w:iCs/>
          <w:color w:val="595959"/>
          <w:sz w:val="20"/>
          <w:szCs w:val="20"/>
        </w:rPr>
        <w:t xml:space="preserve">A complete set of revised paragraphs for Section III.A (dataset composition disclosure), Section III.C (intensity class rewrite), and a new Introduction paragraph (Section I.D) is provided in the companion file 09_draft_paragraphs_for_manuscript.md in the same workspace folder. That file also contains the full IEEE-formatted reference list additions.</w:t>
      </w:r>
    </w:p>
    <w:p>
      <w:pPr>
        <w:spacing w:after="100" w:before="0"/>
        <w:jc w:val="right"/>
      </w:pPr>
      <w:r>
        <w:rPr>
          <w:rFonts w:ascii="Arial" w:cs="Arial" w:eastAsia="Arial" w:hAnsi="Arial"/>
          <w:b w:val="false"/>
          <w:bCs w:val="false"/>
          <w:i/>
          <w:iCs/>
          <w:color w:val="595959"/>
          <w:sz w:val="16"/>
          <w:szCs w:val="16"/>
        </w:rPr>
        <w:t xml:space="preserve">Report generated 2026-04-22 · 83 manuscript claims cross-verified · 46 CSV numeric checks (100% pass on authoritative CSVs) · SIG-BMKG classification based on metadata_recalibrated.csv (25,058 traces, peer-reviewed GMICE thresholds Wald 1999 / Worden 2012 / Caprio 2015) · Based on manuscript state 2026-04-19.</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0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180"/>
      <w:outlineLvl w:val="1"/>
    </w:pPr>
    <w:rPr>
      <w:rFonts w:ascii="Arial" w:cs="Arial" w:eastAsia="Arial" w:hAnsi="Arial"/>
      <w:b/>
      <w:bCs/>
      <w:color w:val="1F3864"/>
      <w:sz w:val="24"/>
      <w:szCs w:val="24"/>
    </w:rPr>
  </w:style>
  <w:style w:type="paragraph" w:styleId="Heading3">
    <w:name w:val="Heading 3"/>
    <w:basedOn w:val="Normal"/>
    <w:next w:val="Normal"/>
    <w:qFormat/>
    <w:pPr>
      <w:spacing w:after="60" w:before="140"/>
      <w:outlineLvl w:val="2"/>
    </w:pPr>
    <w:rPr>
      <w:rFonts w:ascii="Arial" w:cs="Arial" w:eastAsia="Arial" w:hAnsi="Arial"/>
      <w:b/>
      <w:bCs/>
      <w:color w:val="2E75B6"/>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IDA-PTW Publication Readiness Report</dc:title>
  <dc:creator>Hanif Andi Nugraha</dc:creator>
  <cp:lastModifiedBy>Un-named</cp:lastModifiedBy>
  <cp:revision>1</cp:revision>
  <dcterms:created xsi:type="dcterms:W3CDTF">2026-04-22T02:18:17.161Z</dcterms:created>
  <dcterms:modified xsi:type="dcterms:W3CDTF">2026-04-22T02:18:17.161Z</dcterms:modified>
</cp:coreProperties>
</file>

<file path=docProps/custom.xml><?xml version="1.0" encoding="utf-8"?>
<Properties xmlns="http://schemas.openxmlformats.org/officeDocument/2006/custom-properties" xmlns:vt="http://schemas.openxmlformats.org/officeDocument/2006/docPropsVTypes"/>
</file>